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b/>
          <w:bCs w:val="0"/>
          <w:kern w:val="0"/>
          <w:sz w:val="32"/>
          <w:szCs w:val="48"/>
          <w:lang w:val="en-US" w:eastAsia="zh-CN" w:bidi="ar-SA"/>
        </w:rPr>
      </w:pPr>
      <w:r>
        <w:rPr>
          <w:rFonts w:hint="eastAsia" w:ascii="仿宋" w:hAnsi="仿宋" w:eastAsia="仿宋" w:cs="仿宋"/>
          <w:b/>
          <w:bCs w:val="0"/>
          <w:kern w:val="0"/>
          <w:sz w:val="32"/>
          <w:szCs w:val="48"/>
          <w:lang w:val="en-US" w:eastAsia="zh-CN" w:bidi="ar-SA"/>
        </w:rPr>
        <w:t>《莎车县财政衔接推进乡村振兴补助金(巩固拓展脱贫攻坚成果和乡村振兴任务)项目管理办法（暂行）》政策解读</w:t>
      </w:r>
    </w:p>
    <w:p>
      <w:pPr>
        <w:pStyle w:val="2"/>
        <w:rPr>
          <w:rFonts w:hint="eastAsia" w:ascii="仿宋" w:hAnsi="仿宋" w:eastAsia="仿宋" w:cs="仿宋"/>
          <w:sz w:val="32"/>
          <w:szCs w:val="48"/>
          <w:lang w:val="en-US" w:eastAsia="zh-CN"/>
        </w:rPr>
      </w:pPr>
    </w:p>
    <w:p>
      <w:pPr>
        <w:ind w:firstLine="640" w:firstLineChars="200"/>
        <w:rPr>
          <w:rFonts w:hint="eastAsia" w:ascii="仿宋" w:hAnsi="仿宋" w:eastAsia="仿宋" w:cs="仿宋"/>
          <w:bCs/>
          <w:kern w:val="0"/>
          <w:sz w:val="32"/>
          <w:szCs w:val="48"/>
          <w:lang w:val="en-US" w:eastAsia="zh-CN" w:bidi="ar-SA"/>
        </w:rPr>
      </w:pPr>
      <w:r>
        <w:rPr>
          <w:rFonts w:hint="eastAsia" w:ascii="仿宋" w:hAnsi="仿宋" w:eastAsia="仿宋" w:cs="仿宋"/>
          <w:bCs/>
          <w:kern w:val="0"/>
          <w:sz w:val="32"/>
          <w:szCs w:val="48"/>
          <w:lang w:val="en-US" w:eastAsia="zh-CN" w:bidi="ar-SA"/>
        </w:rPr>
        <w:t>为进一步规范财政衔接推进乡村振兴补助资金项目管理，提高资金使用效益和项目帮扶成效，结合莎车县实际制定《莎车县财政衔接推进乡村振兴补助金(巩固拓展脱贫攻坚成果和乡村振兴任务)项目管理办法（暂行）》（以下简称《办法》），现就《办法》解读如下：</w:t>
      </w:r>
    </w:p>
    <w:p>
      <w:pPr>
        <w:numPr>
          <w:ilvl w:val="0"/>
          <w:numId w:val="1"/>
        </w:numPr>
        <w:ind w:firstLine="643" w:firstLineChars="200"/>
        <w:rPr>
          <w:rFonts w:hint="eastAsia" w:ascii="仿宋" w:hAnsi="仿宋" w:eastAsia="仿宋" w:cs="仿宋"/>
          <w:b/>
          <w:bCs w:val="0"/>
          <w:kern w:val="0"/>
          <w:sz w:val="32"/>
          <w:szCs w:val="48"/>
          <w:lang w:val="en-US" w:eastAsia="zh-CN" w:bidi="ar-SA"/>
        </w:rPr>
      </w:pPr>
      <w:r>
        <w:rPr>
          <w:rFonts w:hint="eastAsia" w:ascii="仿宋" w:hAnsi="仿宋" w:eastAsia="仿宋" w:cs="仿宋"/>
          <w:b/>
          <w:bCs w:val="0"/>
          <w:kern w:val="0"/>
          <w:sz w:val="32"/>
          <w:szCs w:val="48"/>
          <w:lang w:val="en-US" w:eastAsia="zh-CN" w:bidi="ar-SA"/>
        </w:rPr>
        <w:t>制定《办法》的背景</w:t>
      </w:r>
    </w:p>
    <w:p>
      <w:pPr>
        <w:ind w:firstLine="640" w:firstLineChars="200"/>
        <w:rPr>
          <w:rFonts w:hint="eastAsia" w:ascii="仿宋" w:hAnsi="仿宋" w:eastAsia="仿宋" w:cs="仿宋"/>
          <w:bCs/>
          <w:kern w:val="0"/>
          <w:sz w:val="32"/>
          <w:szCs w:val="48"/>
          <w:lang w:val="en-US" w:eastAsia="zh-CN" w:bidi="ar-SA"/>
        </w:rPr>
      </w:pPr>
      <w:r>
        <w:rPr>
          <w:rFonts w:hint="eastAsia" w:ascii="仿宋" w:hAnsi="仿宋" w:eastAsia="仿宋" w:cs="仿宋"/>
          <w:bCs/>
          <w:kern w:val="0"/>
          <w:sz w:val="32"/>
          <w:szCs w:val="48"/>
          <w:lang w:val="en-US" w:eastAsia="zh-CN" w:bidi="ar-SA"/>
        </w:rPr>
        <w:t>制定本《办法》，是认真贯彻落实党中央关于巩固拓展脱贫攻坚成果同乡村振兴有效衔接的决策部署，切实加强和改进财政衔接推进乡村振兴补助资金使用管理，提升衔接资金使用效益、强化资金项目管理水平，促进衔接资金更好发挥效益，坚决守住不发生规模性返贫底线，为巩固好脱贫攻坚成果，衔接全面推进乡村振兴提供有力支撑。</w:t>
      </w:r>
    </w:p>
    <w:p>
      <w:pPr>
        <w:pStyle w:val="2"/>
        <w:numPr>
          <w:ilvl w:val="0"/>
          <w:numId w:val="0"/>
        </w:numPr>
        <w:ind w:leftChars="0" w:firstLine="643" w:firstLineChars="200"/>
        <w:rPr>
          <w:rFonts w:hint="eastAsia" w:ascii="仿宋" w:hAnsi="仿宋" w:eastAsia="仿宋" w:cs="仿宋"/>
          <w:b/>
          <w:bCs w:val="0"/>
          <w:kern w:val="0"/>
          <w:sz w:val="32"/>
          <w:szCs w:val="48"/>
          <w:lang w:val="en-US" w:eastAsia="zh-CN" w:bidi="ar-SA"/>
        </w:rPr>
      </w:pPr>
      <w:r>
        <w:rPr>
          <w:rFonts w:hint="eastAsia" w:ascii="仿宋" w:hAnsi="仿宋" w:eastAsia="仿宋" w:cs="仿宋"/>
          <w:b/>
          <w:bCs w:val="0"/>
          <w:kern w:val="0"/>
          <w:sz w:val="32"/>
          <w:szCs w:val="48"/>
          <w:lang w:val="en-US" w:eastAsia="zh-CN" w:bidi="ar-SA"/>
        </w:rPr>
        <w:t>二、制定政策依据</w:t>
      </w:r>
    </w:p>
    <w:p>
      <w:pPr>
        <w:ind w:firstLine="640" w:firstLineChars="200"/>
        <w:rPr>
          <w:rFonts w:hint="eastAsia" w:ascii="仿宋" w:hAnsi="仿宋" w:eastAsia="仿宋" w:cs="仿宋"/>
          <w:bCs/>
          <w:kern w:val="0"/>
          <w:sz w:val="32"/>
          <w:szCs w:val="48"/>
          <w:lang w:val="en-US" w:eastAsia="zh-CN" w:bidi="ar-SA"/>
        </w:rPr>
      </w:pPr>
      <w:r>
        <w:rPr>
          <w:rFonts w:hint="eastAsia" w:ascii="仿宋" w:hAnsi="仿宋" w:eastAsia="仿宋" w:cs="仿宋"/>
          <w:bCs/>
          <w:kern w:val="0"/>
          <w:sz w:val="32"/>
          <w:szCs w:val="48"/>
          <w:lang w:val="en-US" w:eastAsia="zh-CN" w:bidi="ar-SA"/>
        </w:rPr>
        <w:t>《新疆维吾尔自治区财政衔接推进乡村振兴补助资金管理办法》(新财规〔2021)11号)</w:t>
      </w:r>
    </w:p>
    <w:p>
      <w:pPr>
        <w:ind w:firstLine="640" w:firstLineChars="200"/>
        <w:rPr>
          <w:rFonts w:hint="eastAsia" w:ascii="仿宋" w:hAnsi="仿宋" w:eastAsia="仿宋" w:cs="仿宋"/>
          <w:bCs/>
          <w:kern w:val="0"/>
          <w:sz w:val="32"/>
          <w:szCs w:val="48"/>
          <w:lang w:val="en-US" w:eastAsia="zh-CN" w:bidi="ar-SA"/>
        </w:rPr>
      </w:pPr>
      <w:r>
        <w:rPr>
          <w:rFonts w:hint="eastAsia" w:ascii="仿宋" w:hAnsi="仿宋" w:eastAsia="仿宋" w:cs="仿宋"/>
          <w:bCs/>
          <w:kern w:val="0"/>
          <w:sz w:val="32"/>
          <w:szCs w:val="48"/>
          <w:lang w:val="en-US" w:eastAsia="zh-CN" w:bidi="ar-SA"/>
        </w:rPr>
        <w:t>《关于进一步做好县级巩固拓展脱贫攻坚成果和乡村振兴项目库建设管理工作的通知》(新乡振(2021)1号)</w:t>
      </w:r>
    </w:p>
    <w:p>
      <w:pPr>
        <w:pStyle w:val="2"/>
        <w:numPr>
          <w:ilvl w:val="0"/>
          <w:numId w:val="0"/>
        </w:numPr>
        <w:ind w:firstLine="643" w:firstLineChars="200"/>
        <w:rPr>
          <w:rFonts w:hint="eastAsia" w:ascii="仿宋" w:hAnsi="仿宋" w:eastAsia="仿宋" w:cs="仿宋"/>
          <w:b/>
          <w:bCs w:val="0"/>
          <w:kern w:val="0"/>
          <w:sz w:val="32"/>
          <w:szCs w:val="48"/>
          <w:lang w:val="en-US" w:eastAsia="zh-CN" w:bidi="ar-SA"/>
        </w:rPr>
      </w:pPr>
      <w:r>
        <w:rPr>
          <w:rFonts w:hint="eastAsia" w:ascii="仿宋" w:hAnsi="仿宋" w:eastAsia="仿宋" w:cs="仿宋"/>
          <w:b/>
          <w:bCs w:val="0"/>
          <w:kern w:val="0"/>
          <w:sz w:val="32"/>
          <w:szCs w:val="48"/>
          <w:lang w:val="en-US" w:eastAsia="zh-CN" w:bidi="ar-SA"/>
        </w:rPr>
        <w:t>三、主要内容</w:t>
      </w:r>
    </w:p>
    <w:p>
      <w:pPr>
        <w:pStyle w:val="2"/>
        <w:numPr>
          <w:ilvl w:val="0"/>
          <w:numId w:val="0"/>
        </w:numPr>
        <w:ind w:firstLine="640" w:firstLineChars="200"/>
        <w:rPr>
          <w:rFonts w:hint="eastAsia" w:ascii="仿宋" w:hAnsi="仿宋" w:eastAsia="仿宋" w:cs="仿宋"/>
          <w:bCs/>
          <w:kern w:val="0"/>
          <w:sz w:val="32"/>
          <w:szCs w:val="48"/>
          <w:lang w:val="en-US" w:eastAsia="zh-CN" w:bidi="ar-SA"/>
        </w:rPr>
      </w:pPr>
      <w:r>
        <w:rPr>
          <w:rFonts w:hint="eastAsia" w:ascii="仿宋" w:hAnsi="仿宋" w:eastAsia="仿宋" w:cs="仿宋"/>
          <w:bCs/>
          <w:kern w:val="0"/>
          <w:sz w:val="32"/>
          <w:szCs w:val="48"/>
          <w:lang w:val="en-US" w:eastAsia="zh-CN" w:bidi="ar-SA"/>
        </w:rPr>
        <w:t>《办法》共六章二十八条，包含了总则、管理体系、项目备案、项目管理、监督检查、附则。</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lang w:val="en-US" w:eastAsia="zh-CN"/>
        </w:rPr>
      </w:pPr>
      <w:r>
        <w:rPr>
          <w:rFonts w:hint="eastAsia" w:ascii="仿宋" w:hAnsi="仿宋" w:eastAsia="仿宋" w:cs="仿宋"/>
          <w:b/>
          <w:bCs w:val="0"/>
          <w:kern w:val="0"/>
          <w:sz w:val="32"/>
          <w:szCs w:val="48"/>
          <w:lang w:val="en-US" w:eastAsia="zh-CN" w:bidi="ar-SA"/>
        </w:rPr>
        <w:t>第一章</w:t>
      </w:r>
      <w:r>
        <w:rPr>
          <w:rFonts w:hint="eastAsia" w:ascii="仿宋" w:hAnsi="仿宋" w:eastAsia="仿宋" w:cs="仿宋"/>
          <w:bCs/>
          <w:kern w:val="0"/>
          <w:sz w:val="32"/>
          <w:szCs w:val="48"/>
          <w:lang w:val="en-US" w:eastAsia="zh-CN" w:bidi="ar-SA"/>
        </w:rPr>
        <w:t>总则，包含第一</w:t>
      </w:r>
      <w:bookmarkStart w:id="0" w:name="_GoBack"/>
      <w:bookmarkEnd w:id="0"/>
      <w:r>
        <w:rPr>
          <w:rFonts w:hint="eastAsia" w:ascii="仿宋" w:hAnsi="仿宋" w:eastAsia="仿宋" w:cs="仿宋"/>
          <w:bCs/>
          <w:kern w:val="0"/>
          <w:sz w:val="32"/>
          <w:szCs w:val="48"/>
          <w:lang w:val="en-US" w:eastAsia="zh-CN" w:bidi="ar-SA"/>
        </w:rPr>
        <w:t>条至第六条，明确了制定《办法》的依据、资金使用范围、项目审批、项目安排、项目建设范围、项目计划的制定。</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 w:hAnsi="仿宋" w:eastAsia="仿宋" w:cs="仿宋"/>
          <w:bCs/>
          <w:kern w:val="0"/>
          <w:sz w:val="32"/>
          <w:szCs w:val="48"/>
          <w:lang w:val="en-US" w:eastAsia="zh-CN" w:bidi="ar-SA"/>
        </w:rPr>
      </w:pPr>
      <w:r>
        <w:rPr>
          <w:rFonts w:hint="eastAsia" w:ascii="仿宋" w:hAnsi="仿宋" w:eastAsia="仿宋" w:cs="仿宋"/>
          <w:b/>
          <w:bCs w:val="0"/>
          <w:kern w:val="0"/>
          <w:sz w:val="32"/>
          <w:szCs w:val="48"/>
          <w:lang w:val="en-US" w:eastAsia="zh-CN" w:bidi="ar-SA"/>
        </w:rPr>
        <w:t>第二章</w:t>
      </w:r>
      <w:r>
        <w:rPr>
          <w:rFonts w:hint="eastAsia" w:ascii="仿宋" w:hAnsi="仿宋" w:eastAsia="仿宋" w:cs="仿宋"/>
          <w:bCs/>
          <w:kern w:val="0"/>
          <w:sz w:val="32"/>
          <w:szCs w:val="48"/>
          <w:lang w:val="en-US" w:eastAsia="zh-CN" w:bidi="ar-SA"/>
        </w:rPr>
        <w:t>管理体系，共一条（第七条），明确项目管理工作实行分级负责制。</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 w:hAnsi="仿宋" w:eastAsia="方正仿宋简体" w:cs="仿宋"/>
          <w:bCs/>
          <w:kern w:val="0"/>
          <w:sz w:val="32"/>
          <w:szCs w:val="48"/>
          <w:lang w:val="en-US" w:eastAsia="zh-CN" w:bidi="ar-SA"/>
        </w:rPr>
      </w:pPr>
      <w:r>
        <w:rPr>
          <w:rFonts w:hint="eastAsia" w:ascii="仿宋" w:hAnsi="仿宋" w:eastAsia="仿宋" w:cs="仿宋"/>
          <w:b/>
          <w:bCs w:val="0"/>
          <w:kern w:val="0"/>
          <w:sz w:val="32"/>
          <w:szCs w:val="48"/>
          <w:lang w:val="en-US" w:eastAsia="zh-CN" w:bidi="ar-SA"/>
        </w:rPr>
        <w:t>第三章</w:t>
      </w:r>
      <w:r>
        <w:rPr>
          <w:rFonts w:hint="eastAsia" w:ascii="仿宋" w:hAnsi="仿宋" w:eastAsia="仿宋" w:cs="仿宋"/>
          <w:b w:val="0"/>
          <w:bCs/>
          <w:kern w:val="0"/>
          <w:sz w:val="32"/>
          <w:szCs w:val="48"/>
          <w:lang w:val="en-US" w:eastAsia="zh-CN" w:bidi="ar-SA"/>
        </w:rPr>
        <w:t>项目备案，</w:t>
      </w:r>
      <w:r>
        <w:rPr>
          <w:rFonts w:hint="eastAsia" w:ascii="仿宋" w:hAnsi="仿宋" w:eastAsia="仿宋" w:cs="仿宋"/>
          <w:bCs/>
          <w:kern w:val="0"/>
          <w:sz w:val="32"/>
          <w:szCs w:val="48"/>
          <w:lang w:val="en-US" w:eastAsia="zh-CN" w:bidi="ar-SA"/>
        </w:rPr>
        <w:t>包含第八条至第十二条，明确了项目实行备案制度、项目报备资料、项目计划和实施方案主要内容、项目申报前期准备、项目启动实施的有关规定。</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eastAsia="方正仿宋简体"/>
          <w:lang w:val="en-US" w:eastAsia="zh-CN"/>
        </w:rPr>
      </w:pPr>
      <w:r>
        <w:rPr>
          <w:rFonts w:hint="eastAsia" w:ascii="仿宋" w:hAnsi="仿宋" w:eastAsia="仿宋" w:cs="仿宋"/>
          <w:b/>
          <w:bCs w:val="0"/>
          <w:kern w:val="0"/>
          <w:sz w:val="32"/>
          <w:szCs w:val="48"/>
          <w:lang w:val="en-US" w:eastAsia="zh-CN" w:bidi="ar-SA"/>
        </w:rPr>
        <w:t>第四章</w:t>
      </w:r>
      <w:r>
        <w:rPr>
          <w:rFonts w:hint="eastAsia" w:ascii="仿宋" w:hAnsi="仿宋" w:eastAsia="仿宋" w:cs="仿宋"/>
          <w:b w:val="0"/>
          <w:bCs/>
          <w:kern w:val="0"/>
          <w:sz w:val="32"/>
          <w:szCs w:val="48"/>
          <w:lang w:val="en-US" w:eastAsia="zh-CN" w:bidi="ar-SA"/>
        </w:rPr>
        <w:t>项目管理，</w:t>
      </w:r>
      <w:r>
        <w:rPr>
          <w:rFonts w:hint="eastAsia" w:ascii="仿宋" w:hAnsi="仿宋" w:eastAsia="仿宋" w:cs="仿宋"/>
          <w:bCs/>
          <w:kern w:val="0"/>
          <w:sz w:val="32"/>
          <w:szCs w:val="48"/>
          <w:lang w:val="en-US" w:eastAsia="zh-CN" w:bidi="ar-SA"/>
        </w:rPr>
        <w:t>包含第十三条至第二十条，明确项目建设单位执行项目应于当年完工、项目不得擅自调整、变更、项目竣工验收相关工作、执行信息公开制度，做好资金分配使用、县级项目库、项目计划、实施方案、项目执行、收益分配、后期管护、资产管理等环节公告公示工作、加强项目档案资料管理。</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lang w:val="en-US" w:eastAsia="zh-CN"/>
        </w:rPr>
      </w:pPr>
      <w:r>
        <w:rPr>
          <w:rFonts w:hint="eastAsia" w:ascii="仿宋" w:hAnsi="仿宋" w:eastAsia="仿宋" w:cs="仿宋"/>
          <w:b/>
          <w:bCs w:val="0"/>
          <w:kern w:val="0"/>
          <w:sz w:val="32"/>
          <w:szCs w:val="48"/>
          <w:lang w:val="en-US" w:eastAsia="zh-CN" w:bidi="ar-SA"/>
        </w:rPr>
        <w:t>第五章</w:t>
      </w:r>
      <w:r>
        <w:rPr>
          <w:rFonts w:hint="eastAsia" w:ascii="仿宋" w:hAnsi="仿宋" w:eastAsia="仿宋" w:cs="仿宋"/>
          <w:b w:val="0"/>
          <w:bCs/>
          <w:kern w:val="0"/>
          <w:sz w:val="32"/>
          <w:szCs w:val="48"/>
          <w:lang w:val="en-US" w:eastAsia="zh-CN" w:bidi="ar-SA"/>
        </w:rPr>
        <w:t>监督检查，</w:t>
      </w:r>
      <w:r>
        <w:rPr>
          <w:rFonts w:hint="eastAsia" w:ascii="仿宋" w:hAnsi="仿宋" w:eastAsia="仿宋" w:cs="仿宋"/>
          <w:bCs/>
          <w:kern w:val="0"/>
          <w:sz w:val="32"/>
          <w:szCs w:val="48"/>
          <w:lang w:val="en-US" w:eastAsia="zh-CN" w:bidi="ar-SA"/>
        </w:rPr>
        <w:t>包含第二十一条至第二十六条，明确监督检查方式、程序、重点，违反规定的处理。</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lang w:val="en-US" w:eastAsia="zh-CN"/>
        </w:rPr>
      </w:pPr>
      <w:r>
        <w:rPr>
          <w:rFonts w:hint="eastAsia" w:ascii="仿宋" w:hAnsi="仿宋" w:eastAsia="仿宋" w:cs="仿宋"/>
          <w:b/>
          <w:bCs w:val="0"/>
          <w:kern w:val="0"/>
          <w:sz w:val="32"/>
          <w:szCs w:val="48"/>
          <w:lang w:val="en-US" w:eastAsia="zh-CN" w:bidi="ar-SA"/>
        </w:rPr>
        <w:t>第六章</w:t>
      </w:r>
      <w:r>
        <w:rPr>
          <w:rFonts w:hint="eastAsia" w:ascii="仿宋" w:hAnsi="仿宋" w:eastAsia="仿宋" w:cs="仿宋"/>
          <w:b w:val="0"/>
          <w:bCs/>
          <w:kern w:val="0"/>
          <w:sz w:val="32"/>
          <w:szCs w:val="48"/>
          <w:lang w:val="en-US" w:eastAsia="zh-CN" w:bidi="ar-SA"/>
        </w:rPr>
        <w:t>附则，</w:t>
      </w:r>
      <w:r>
        <w:rPr>
          <w:rFonts w:hint="eastAsia" w:ascii="仿宋" w:hAnsi="仿宋" w:eastAsia="仿宋" w:cs="仿宋"/>
          <w:bCs/>
          <w:kern w:val="0"/>
          <w:sz w:val="32"/>
          <w:szCs w:val="48"/>
          <w:lang w:val="en-US" w:eastAsia="zh-CN" w:bidi="ar-SA"/>
        </w:rPr>
        <w:t>明确办法执行时间。</w:t>
      </w:r>
    </w:p>
    <w:p>
      <w:pPr>
        <w:rPr>
          <w:rFonts w:hint="eastAsia"/>
          <w:lang w:eastAsia="zh-CN"/>
        </w:rPr>
      </w:pPr>
    </w:p>
    <w:p>
      <w:pPr>
        <w:pStyle w:val="2"/>
        <w:rPr>
          <w:rFonts w:hint="eastAsia"/>
          <w:lang w:eastAsia="zh-CN"/>
        </w:rPr>
      </w:pPr>
    </w:p>
    <w:p>
      <w:pPr>
        <w:rPr>
          <w:rFonts w:hint="eastAsia"/>
          <w:lang w:eastAsia="zh-CN"/>
        </w:rPr>
      </w:pPr>
    </w:p>
    <w:p>
      <w:pPr>
        <w:rPr>
          <w:rFonts w:hint="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B109D5"/>
    <w:multiLevelType w:val="singleLevel"/>
    <w:tmpl w:val="A5B109D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EE59DA"/>
    <w:rsid w:val="19A86BDD"/>
    <w:rsid w:val="38BC6845"/>
    <w:rsid w:val="4AC27B39"/>
    <w:rsid w:val="4D960CAB"/>
    <w:rsid w:val="57272871"/>
    <w:rsid w:val="5B344596"/>
    <w:rsid w:val="5B96335C"/>
    <w:rsid w:val="706C03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3"/>
    <w:basedOn w:val="1"/>
    <w:next w:val="1"/>
    <w:qFormat/>
    <w:uiPriority w:val="0"/>
    <w:pPr>
      <w:keepNext/>
      <w:keepLines/>
      <w:outlineLvl w:val="2"/>
    </w:pPr>
    <w:rPr>
      <w:rFonts w:ascii="Times New Roman" w:hAnsi="Times New Roman" w:eastAsia="方正小标宋简体"/>
      <w:bCs/>
      <w:kern w:val="0"/>
      <w:szCs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2022-11-08T10:07:00Z</dcterms:created>
  <dc:creator>Administrator.PC-20220930KHUG</dc:creator>
  <cp:lastModifiedBy>Sunshine</cp:lastModifiedBy>
  <cp:lastPrinted>2022-11-08T15:55:00Z</cp:lastPrinted>
  <dcterms:modified xsi:type="dcterms:W3CDTF">2023-11-17T05:52:08Z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