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804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92" w:afterAutospacing="0" w:line="580" w:lineRule="exact"/>
        <w:ind w:left="0" w:right="0" w:firstLine="0"/>
        <w:jc w:val="center"/>
        <w:textAlignment w:val="auto"/>
        <w:rPr>
          <w:rStyle w:val="6"/>
          <w:rFonts w:hint="default" w:ascii="方正黑体_GBK" w:hAnsi="方正黑体_GBK" w:eastAsia="方正黑体_GBK" w:cs="方正黑体_GBK"/>
          <w:b/>
          <w:bCs/>
          <w:i w:val="0"/>
          <w:iCs w:val="0"/>
          <w:caps w:val="0"/>
          <w:color w:val="0F1115"/>
          <w:spacing w:val="0"/>
          <w:sz w:val="44"/>
          <w:szCs w:val="44"/>
          <w:shd w:val="clear" w:fill="FFFFFF"/>
          <w:lang w:val="en-US" w:eastAsia="zh-CN"/>
        </w:rPr>
      </w:pPr>
      <w:r>
        <w:rPr>
          <w:rStyle w:val="6"/>
          <w:rFonts w:hint="eastAsia" w:ascii="方正黑体_GBK" w:hAnsi="方正黑体_GBK" w:eastAsia="方正黑体_GBK" w:cs="方正黑体_GBK"/>
          <w:b/>
          <w:bCs/>
          <w:i w:val="0"/>
          <w:iCs w:val="0"/>
          <w:caps w:val="0"/>
          <w:color w:val="0F1115"/>
          <w:spacing w:val="0"/>
          <w:sz w:val="44"/>
          <w:szCs w:val="44"/>
          <w:shd w:val="clear" w:fill="FFFFFF"/>
        </w:rPr>
        <w:t>莎车县2025年城中村改造项目征收补偿方案</w:t>
      </w:r>
      <w:r>
        <w:rPr>
          <w:rStyle w:val="6"/>
          <w:rFonts w:hint="eastAsia" w:ascii="方正黑体_GBK" w:hAnsi="方正黑体_GBK" w:eastAsia="方正黑体_GBK" w:cs="方正黑体_GBK"/>
          <w:b/>
          <w:bCs/>
          <w:i w:val="0"/>
          <w:iCs w:val="0"/>
          <w:caps w:val="0"/>
          <w:color w:val="0F1115"/>
          <w:spacing w:val="0"/>
          <w:sz w:val="44"/>
          <w:szCs w:val="44"/>
          <w:shd w:val="clear" w:fill="FFFFFF"/>
          <w:lang w:eastAsia="zh-CN"/>
        </w:rPr>
        <w:t>（</w:t>
      </w:r>
      <w:r>
        <w:rPr>
          <w:rStyle w:val="6"/>
          <w:rFonts w:hint="eastAsia" w:ascii="方正黑体_GBK" w:hAnsi="方正黑体_GBK" w:eastAsia="方正黑体_GBK" w:cs="方正黑体_GBK"/>
          <w:b/>
          <w:bCs/>
          <w:i w:val="0"/>
          <w:iCs w:val="0"/>
          <w:caps w:val="0"/>
          <w:color w:val="0F1115"/>
          <w:spacing w:val="0"/>
          <w:sz w:val="44"/>
          <w:szCs w:val="44"/>
          <w:shd w:val="clear" w:fill="FFFFFF"/>
          <w:lang w:val="en-US" w:eastAsia="zh-CN"/>
        </w:rPr>
        <w:t>征求意见稿）</w:t>
      </w:r>
    </w:p>
    <w:p w14:paraId="51AD7E9E">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依法推进莎车县2025年城中村改造项目，保障被征收人合法权益，根据《国有土地上房屋征收与补偿条例》（国务院令第590号）、《新疆维吾尔自治区实施〈国有土地上房屋征收与补偿条例〉办法》（政府令第187号）、《中华人民共和国土地管理法》等法律法规，以及《莎车县城镇危旧房、城中村改造综合治理办法（试行）》、《莎车县2025年城中村改造项目实施方案》等文件精神，结合本项目实际，制定本补偿方案。</w:t>
      </w:r>
    </w:p>
    <w:p w14:paraId="1322FF1D">
      <w:pPr>
        <w:bidi w:val="0"/>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 项目基本情况</w:t>
      </w:r>
    </w:p>
    <w:p w14:paraId="10121D1D">
      <w:pPr>
        <w:bidi w:val="0"/>
        <w:ind w:left="319" w:leftChars="152" w:firstLine="321" w:firstLineChars="1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（一）项目名称：</w:t>
      </w:r>
      <w:r>
        <w:rPr>
          <w:rFonts w:hint="eastAsia" w:ascii="方正仿宋_GBK" w:hAnsi="方正仿宋_GBK" w:eastAsia="方正仿宋_GBK" w:cs="方正仿宋_GBK"/>
          <w:sz w:val="32"/>
          <w:szCs w:val="32"/>
        </w:rPr>
        <w:t>莎车县2025年城中村改造项目。</w:t>
      </w:r>
    </w:p>
    <w:p w14:paraId="4D598162">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（二）征收部门：</w:t>
      </w:r>
      <w:r>
        <w:rPr>
          <w:rFonts w:hint="eastAsia" w:ascii="方正仿宋_GBK" w:hAnsi="方正仿宋_GBK" w:eastAsia="方正仿宋_GBK" w:cs="方正仿宋_GBK"/>
          <w:sz w:val="32"/>
          <w:szCs w:val="32"/>
        </w:rPr>
        <w:t>莎车县保障性住房服务中心（莎车县城镇发展服务中心）。</w:t>
      </w:r>
    </w:p>
    <w:p w14:paraId="6A49C2BD">
      <w:pPr>
        <w:bidi w:val="0"/>
        <w:ind w:left="319" w:leftChars="152" w:firstLine="321" w:firstLineChars="1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rPr>
        <w:t>（三）征收实施单位：</w:t>
      </w:r>
      <w:r>
        <w:rPr>
          <w:rFonts w:hint="eastAsia" w:ascii="方正仿宋_GBK" w:hAnsi="方正仿宋_GBK" w:eastAsia="方正仿宋_GBK" w:cs="方正仿宋_GBK"/>
          <w:sz w:val="32"/>
          <w:szCs w:val="32"/>
        </w:rPr>
        <w:t>莎车县城镇发展服务中心。</w:t>
      </w:r>
      <w:r>
        <w:rPr>
          <w:rFonts w:hint="eastAsia" w:ascii="方正仿宋_GBK" w:hAnsi="方正仿宋_GBK" w:eastAsia="方正仿宋_GBK" w:cs="方正仿宋_GBK"/>
          <w:sz w:val="32"/>
          <w:szCs w:val="32"/>
          <w:lang w:val="en-US" w:eastAsia="zh-CN"/>
        </w:rPr>
        <w:t xml:space="preserve"> </w:t>
      </w:r>
    </w:p>
    <w:p w14:paraId="31D5F099">
      <w:pPr>
        <w:keepNext w:val="0"/>
        <w:keepLines w:val="0"/>
        <w:widowControl/>
        <w:suppressLineNumbers w:val="0"/>
        <w:ind w:firstLine="643" w:firstLineChars="200"/>
        <w:jc w:val="left"/>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（四）征收范围：</w:t>
      </w:r>
      <w:r>
        <w:rPr>
          <w:rFonts w:hint="eastAsia" w:ascii="方正仿宋_GBK" w:hAnsi="方正仿宋_GBK" w:eastAsia="方正仿宋_GBK" w:cs="方正仿宋_GBK"/>
          <w:sz w:val="32"/>
          <w:szCs w:val="32"/>
        </w:rPr>
        <w:t>涉及城北街道、城东街道、城中街道、莎车镇、古勒巴格镇辖区内10个地块</w:t>
      </w:r>
      <w:r>
        <w:rPr>
          <w:rFonts w:hint="eastAsia" w:ascii="方正仿宋_GBK" w:hAnsi="方正仿宋_GBK" w:eastAsia="方正仿宋_GBK" w:cs="方正仿宋_GBK"/>
          <w:color w:val="000000"/>
          <w:kern w:val="0"/>
          <w:sz w:val="31"/>
          <w:szCs w:val="31"/>
          <w:lang w:val="en-US" w:eastAsia="zh-CN" w:bidi="ar"/>
        </w:rPr>
        <w:t>：地块一（</w:t>
      </w:r>
      <w:r>
        <w:rPr>
          <w:rFonts w:hint="default" w:ascii="方正仿宋_GBK" w:hAnsi="方正仿宋_GBK" w:eastAsia="方正仿宋_GBK" w:cs="方正仿宋_GBK"/>
          <w:color w:val="000000"/>
          <w:kern w:val="0"/>
          <w:sz w:val="31"/>
          <w:szCs w:val="31"/>
          <w:lang w:val="en-US" w:eastAsia="zh-CN" w:bidi="ar"/>
        </w:rPr>
        <w:t>C45</w:t>
      </w:r>
      <w:r>
        <w:rPr>
          <w:rFonts w:hint="eastAsia" w:ascii="方正仿宋_GBK" w:hAnsi="方正仿宋_GBK" w:eastAsia="方正仿宋_GBK" w:cs="方正仿宋_GBK"/>
          <w:color w:val="000000"/>
          <w:kern w:val="0"/>
          <w:sz w:val="31"/>
          <w:szCs w:val="31"/>
          <w:lang w:val="en-US" w:eastAsia="zh-CN" w:bidi="ar"/>
        </w:rPr>
        <w:t>）古勒巴格镇其格万社区片区，位于迎宾南路西侧、团结西路北侧</w:t>
      </w:r>
      <w:bookmarkStart w:id="0" w:name="_GoBack"/>
      <w:bookmarkEnd w:id="0"/>
      <w:r>
        <w:rPr>
          <w:rFonts w:hint="eastAsia" w:ascii="方正仿宋_GBK" w:hAnsi="方正仿宋_GBK" w:eastAsia="方正仿宋_GBK" w:cs="方正仿宋_GBK"/>
          <w:color w:val="000000"/>
          <w:kern w:val="0"/>
          <w:sz w:val="31"/>
          <w:szCs w:val="31"/>
          <w:lang w:val="en-US" w:eastAsia="zh-CN" w:bidi="ar"/>
        </w:rPr>
        <w:t>；地块二（</w:t>
      </w:r>
      <w:r>
        <w:rPr>
          <w:rFonts w:hint="default" w:ascii="方正仿宋_GBK" w:hAnsi="方正仿宋_GBK" w:eastAsia="方正仿宋_GBK" w:cs="方正仿宋_GBK"/>
          <w:color w:val="000000"/>
          <w:kern w:val="0"/>
          <w:sz w:val="31"/>
          <w:szCs w:val="31"/>
          <w:lang w:val="en-US" w:eastAsia="zh-CN" w:bidi="ar"/>
        </w:rPr>
        <w:t>C43</w:t>
      </w:r>
      <w:r>
        <w:rPr>
          <w:rFonts w:hint="eastAsia" w:ascii="方正仿宋_GBK" w:hAnsi="方正仿宋_GBK" w:eastAsia="方正仿宋_GBK" w:cs="方正仿宋_GBK"/>
          <w:color w:val="000000"/>
          <w:kern w:val="0"/>
          <w:sz w:val="31"/>
          <w:szCs w:val="31"/>
          <w:lang w:val="en-US" w:eastAsia="zh-CN" w:bidi="ar"/>
        </w:rPr>
        <w:t>）古勒巴格镇兴业社区片区，位于光明路东侧、智慧路南侧；地块三（</w:t>
      </w:r>
      <w:r>
        <w:rPr>
          <w:rFonts w:hint="default" w:ascii="Times New Roman" w:hAnsi="Times New Roman" w:eastAsia="宋体" w:cs="Times New Roman"/>
          <w:color w:val="000000"/>
          <w:kern w:val="0"/>
          <w:sz w:val="31"/>
          <w:szCs w:val="31"/>
          <w:lang w:val="en-US" w:eastAsia="zh-CN" w:bidi="ar"/>
        </w:rPr>
        <w:t>C21</w:t>
      </w:r>
      <w:r>
        <w:rPr>
          <w:rFonts w:hint="eastAsia" w:ascii="方正仿宋_GBK" w:hAnsi="方正仿宋_GBK" w:eastAsia="方正仿宋_GBK" w:cs="方正仿宋_GBK"/>
          <w:color w:val="000000"/>
          <w:kern w:val="0"/>
          <w:sz w:val="31"/>
          <w:szCs w:val="31"/>
          <w:lang w:val="en-US" w:eastAsia="zh-CN" w:bidi="ar"/>
        </w:rPr>
        <w:t>）城中街道办和平社区片区，位于建设路南侧、前进路北侧；地块四（</w:t>
      </w:r>
      <w:r>
        <w:rPr>
          <w:rFonts w:hint="default" w:ascii="Times New Roman" w:hAnsi="Times New Roman" w:eastAsia="宋体" w:cs="Times New Roman"/>
          <w:color w:val="000000"/>
          <w:kern w:val="0"/>
          <w:sz w:val="31"/>
          <w:szCs w:val="31"/>
          <w:lang w:val="en-US" w:eastAsia="zh-CN" w:bidi="ar"/>
        </w:rPr>
        <w:t>C20</w:t>
      </w:r>
      <w:r>
        <w:rPr>
          <w:rFonts w:hint="eastAsia" w:ascii="方正仿宋_GBK" w:hAnsi="方正仿宋_GBK" w:eastAsia="方正仿宋_GBK" w:cs="方正仿宋_GBK"/>
          <w:color w:val="000000"/>
          <w:kern w:val="0"/>
          <w:sz w:val="31"/>
          <w:szCs w:val="31"/>
          <w:lang w:val="en-US" w:eastAsia="zh-CN" w:bidi="ar"/>
        </w:rPr>
        <w:t>）城中街道办东南社区片区，位于东南小区后侧；地块五（</w:t>
      </w:r>
      <w:r>
        <w:rPr>
          <w:rFonts w:hint="default" w:ascii="Times New Roman" w:hAnsi="Times New Roman" w:eastAsia="宋体" w:cs="Times New Roman"/>
          <w:color w:val="000000"/>
          <w:kern w:val="0"/>
          <w:sz w:val="31"/>
          <w:szCs w:val="31"/>
          <w:lang w:val="en-US" w:eastAsia="zh-CN" w:bidi="ar"/>
        </w:rPr>
        <w:t>C22</w:t>
      </w:r>
      <w:r>
        <w:rPr>
          <w:rFonts w:hint="eastAsia" w:ascii="方正仿宋_GBK" w:hAnsi="方正仿宋_GBK" w:eastAsia="方正仿宋_GBK" w:cs="方正仿宋_GBK"/>
          <w:color w:val="000000"/>
          <w:kern w:val="0"/>
          <w:sz w:val="31"/>
          <w:szCs w:val="31"/>
          <w:lang w:val="en-US" w:eastAsia="zh-CN" w:bidi="ar"/>
        </w:rPr>
        <w:t>）城中街道其乃巴格社区片区，位于建设东路北侧、木卡姆南路东侧；地块六（</w:t>
      </w:r>
      <w:r>
        <w:rPr>
          <w:rFonts w:hint="default" w:ascii="Times New Roman" w:hAnsi="Times New Roman" w:eastAsia="宋体" w:cs="Times New Roman"/>
          <w:color w:val="000000"/>
          <w:kern w:val="0"/>
          <w:sz w:val="31"/>
          <w:szCs w:val="31"/>
          <w:lang w:val="en-US" w:eastAsia="zh-CN" w:bidi="ar"/>
        </w:rPr>
        <w:t>C30</w:t>
      </w:r>
      <w:r>
        <w:rPr>
          <w:rFonts w:hint="eastAsia" w:ascii="方正仿宋_GBK" w:hAnsi="方正仿宋_GBK" w:eastAsia="方正仿宋_GBK" w:cs="方正仿宋_GBK"/>
          <w:color w:val="000000"/>
          <w:kern w:val="0"/>
          <w:sz w:val="31"/>
          <w:szCs w:val="31"/>
          <w:lang w:val="en-US" w:eastAsia="zh-CN" w:bidi="ar"/>
        </w:rPr>
        <w:t>）莎车镇阿纳尔巴格社区片区，位于丝绸路东侧、明园东路南侧；地块七（</w:t>
      </w:r>
      <w:r>
        <w:rPr>
          <w:rFonts w:hint="default" w:ascii="Times New Roman" w:hAnsi="Times New Roman" w:eastAsia="宋体" w:cs="Times New Roman"/>
          <w:color w:val="000000"/>
          <w:kern w:val="0"/>
          <w:sz w:val="31"/>
          <w:szCs w:val="31"/>
          <w:lang w:val="en-US" w:eastAsia="zh-CN" w:bidi="ar"/>
        </w:rPr>
        <w:t>C33</w:t>
      </w:r>
      <w:r>
        <w:rPr>
          <w:rFonts w:hint="eastAsia" w:ascii="方正仿宋_GBK" w:hAnsi="方正仿宋_GBK" w:eastAsia="方正仿宋_GBK" w:cs="方正仿宋_GBK"/>
          <w:color w:val="000000"/>
          <w:kern w:val="0"/>
          <w:sz w:val="31"/>
          <w:szCs w:val="31"/>
          <w:lang w:val="en-US" w:eastAsia="zh-CN" w:bidi="ar"/>
        </w:rPr>
        <w:t>）莎车镇库木当社区片区，位于木卡姆路东侧、人民东路北侧；地块八（</w:t>
      </w:r>
      <w:r>
        <w:rPr>
          <w:rFonts w:hint="default" w:ascii="Times New Roman" w:hAnsi="Times New Roman" w:eastAsia="宋体" w:cs="Times New Roman"/>
          <w:color w:val="000000"/>
          <w:kern w:val="0"/>
          <w:sz w:val="31"/>
          <w:szCs w:val="31"/>
          <w:lang w:val="en-US" w:eastAsia="zh-CN" w:bidi="ar"/>
        </w:rPr>
        <w:t>C12</w:t>
      </w:r>
      <w:r>
        <w:rPr>
          <w:rFonts w:hint="eastAsia" w:ascii="方正仿宋_GBK" w:hAnsi="方正仿宋_GBK" w:eastAsia="方正仿宋_GBK" w:cs="方正仿宋_GBK"/>
          <w:color w:val="000000"/>
          <w:kern w:val="0"/>
          <w:sz w:val="31"/>
          <w:szCs w:val="31"/>
          <w:lang w:val="en-US" w:eastAsia="zh-CN" w:bidi="ar"/>
        </w:rPr>
        <w:t>）城东街道办昆其力克村片区，位于旅游路东侧、祈福台路北侧；地块九（</w:t>
      </w:r>
      <w:r>
        <w:rPr>
          <w:rFonts w:hint="default" w:ascii="Times New Roman" w:hAnsi="Times New Roman" w:eastAsia="宋体" w:cs="Times New Roman"/>
          <w:color w:val="000000"/>
          <w:kern w:val="0"/>
          <w:sz w:val="31"/>
          <w:szCs w:val="31"/>
          <w:lang w:val="en-US" w:eastAsia="zh-CN" w:bidi="ar"/>
        </w:rPr>
        <w:t>C36</w:t>
      </w:r>
      <w:r>
        <w:rPr>
          <w:rFonts w:hint="eastAsia" w:ascii="方正仿宋_GBK" w:hAnsi="方正仿宋_GBK" w:eastAsia="方正仿宋_GBK" w:cs="方正仿宋_GBK"/>
          <w:color w:val="000000"/>
          <w:kern w:val="0"/>
          <w:sz w:val="31"/>
          <w:szCs w:val="31"/>
          <w:lang w:val="en-US" w:eastAsia="zh-CN" w:bidi="ar"/>
        </w:rPr>
        <w:t>）城北街道办新风路社区片区，位于米夏路东侧、木卡姆路西侧；地块十（</w:t>
      </w:r>
      <w:r>
        <w:rPr>
          <w:rFonts w:hint="default" w:ascii="Times New Roman" w:hAnsi="Times New Roman" w:eastAsia="宋体" w:cs="Times New Roman"/>
          <w:color w:val="000000"/>
          <w:kern w:val="0"/>
          <w:sz w:val="31"/>
          <w:szCs w:val="31"/>
          <w:lang w:val="en-US" w:eastAsia="zh-CN" w:bidi="ar"/>
        </w:rPr>
        <w:t>C37</w:t>
      </w:r>
      <w:r>
        <w:rPr>
          <w:rFonts w:hint="eastAsia" w:ascii="方正仿宋_GBK" w:hAnsi="方正仿宋_GBK" w:eastAsia="方正仿宋_GBK" w:cs="方正仿宋_GBK"/>
          <w:color w:val="000000"/>
          <w:kern w:val="0"/>
          <w:sz w:val="31"/>
          <w:szCs w:val="31"/>
          <w:lang w:val="en-US" w:eastAsia="zh-CN" w:bidi="ar"/>
        </w:rPr>
        <w:t>）城北街道办英麦勒社区片区，位于北门街东侧、明园西路北侧。</w:t>
      </w:r>
    </w:p>
    <w:p w14:paraId="618D454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rPr>
        <w:t>（五）被征收人</w:t>
      </w:r>
      <w:r>
        <w:rPr>
          <w:rFonts w:hint="eastAsia" w:ascii="方正仿宋_GBK" w:hAnsi="方正仿宋_GBK" w:eastAsia="方正仿宋_GBK" w:cs="方正仿宋_GBK"/>
          <w:sz w:val="32"/>
          <w:szCs w:val="32"/>
        </w:rPr>
        <w:t>：征收范围内房屋所有权人（具体以调查登记结果为准），共涉及约3390户。</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（六）签约期限：</w:t>
      </w:r>
      <w:r>
        <w:rPr>
          <w:rFonts w:hint="eastAsia" w:ascii="方正仿宋_GBK" w:hAnsi="方正仿宋_GBK" w:eastAsia="方正仿宋_GBK" w:cs="方正仿宋_GBK"/>
          <w:sz w:val="32"/>
          <w:szCs w:val="32"/>
        </w:rPr>
        <w:t>自房屋征收决定公告规定的签约起始日起 60 日内。</w:t>
      </w:r>
    </w:p>
    <w:p w14:paraId="27180869">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二、补偿原则</w:t>
      </w:r>
    </w:p>
    <w:p w14:paraId="7E413FBB">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（一）决策民主、程序正当。</w:t>
      </w:r>
      <w:r>
        <w:rPr>
          <w:rFonts w:hint="eastAsia" w:ascii="方正仿宋_GBK" w:hAnsi="方正仿宋_GBK" w:eastAsia="方正仿宋_GBK" w:cs="方正仿宋_GBK"/>
          <w:sz w:val="32"/>
          <w:szCs w:val="32"/>
        </w:rPr>
        <w:t>征收补偿工作严格依法进行，程序公开透明，充分保障被征收人的知情权、参与权和监督权。</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（二）结果公开、公平补偿。</w:t>
      </w:r>
      <w:r>
        <w:rPr>
          <w:rFonts w:hint="eastAsia" w:ascii="方正仿宋_GBK" w:hAnsi="方正仿宋_GBK" w:eastAsia="方正仿宋_GBK" w:cs="方正仿宋_GBK"/>
          <w:sz w:val="32"/>
          <w:szCs w:val="32"/>
        </w:rPr>
        <w:t>征收补偿标准统一，补偿结果公开，确保对被征收房屋价值的补偿公平合理，保障被征收群众居住条件有改善。</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（三）实物安置为主、尊重群众意愿。</w:t>
      </w:r>
      <w:r>
        <w:rPr>
          <w:rFonts w:hint="eastAsia" w:ascii="方正仿宋_GBK" w:hAnsi="方正仿宋_GBK" w:eastAsia="方正仿宋_GBK" w:cs="方正仿宋_GBK"/>
          <w:sz w:val="32"/>
          <w:szCs w:val="32"/>
        </w:rPr>
        <w:t>本项目采用实物安置为主要补偿方式。征收部门将充分听取被征收人意见，在政策框架内保障其合法权益。</w:t>
      </w:r>
    </w:p>
    <w:p w14:paraId="78A3FF03">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三、补偿内容、方式及标准</w:t>
      </w:r>
    </w:p>
    <w:p w14:paraId="0C1503B3">
      <w:pPr>
        <w:bidi w:val="0"/>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（一）被征收房屋价值补偿</w:t>
      </w:r>
    </w:p>
    <w:p w14:paraId="322D6B16">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补偿依据：</w:t>
      </w:r>
      <w:r>
        <w:rPr>
          <w:rFonts w:hint="eastAsia" w:ascii="方正仿宋_GBK" w:hAnsi="方正仿宋_GBK" w:eastAsia="方正仿宋_GBK" w:cs="方正仿宋_GBK"/>
          <w:sz w:val="32"/>
          <w:szCs w:val="32"/>
        </w:rPr>
        <w:t>被征收房屋价值，由依法选定的房地产价格评估机构按照《国有土地上房屋征收评估办法》评估确定。评估</w:t>
      </w:r>
      <w:r>
        <w:rPr>
          <w:rFonts w:hint="eastAsia" w:ascii="方正仿宋_GBK" w:hAnsi="方正仿宋_GBK" w:eastAsia="方正仿宋_GBK" w:cs="方正仿宋_GBK"/>
          <w:sz w:val="32"/>
          <w:szCs w:val="32"/>
          <w:lang w:val="en-US" w:eastAsia="zh-CN"/>
        </w:rPr>
        <w:t>基准日</w:t>
      </w:r>
      <w:r>
        <w:rPr>
          <w:rFonts w:hint="eastAsia" w:ascii="方正仿宋_GBK" w:hAnsi="方正仿宋_GBK" w:eastAsia="方正仿宋_GBK" w:cs="方正仿宋_GBK"/>
          <w:sz w:val="32"/>
          <w:szCs w:val="32"/>
        </w:rPr>
        <w:t>以房屋征收决定公告之日为准。</w:t>
      </w:r>
    </w:p>
    <w:p w14:paraId="5FB48BE7">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标准衔接：</w:t>
      </w:r>
      <w:r>
        <w:rPr>
          <w:rFonts w:hint="eastAsia" w:ascii="方正仿宋_GBK" w:hAnsi="方正仿宋_GBK" w:eastAsia="方正仿宋_GBK" w:cs="方正仿宋_GBK"/>
          <w:sz w:val="32"/>
          <w:szCs w:val="32"/>
        </w:rPr>
        <w:t>评估机构在评估时，</w:t>
      </w:r>
      <w:r>
        <w:rPr>
          <w:rFonts w:hint="eastAsia" w:ascii="方正仿宋_GBK" w:hAnsi="方正仿宋_GBK" w:eastAsia="方正仿宋_GBK" w:cs="方正仿宋_GBK"/>
          <w:sz w:val="32"/>
          <w:szCs w:val="32"/>
          <w:lang w:val="en-US" w:eastAsia="zh-CN"/>
        </w:rPr>
        <w:t>依据</w:t>
      </w:r>
      <w:r>
        <w:rPr>
          <w:rFonts w:hint="eastAsia" w:ascii="方正仿宋_GBK" w:hAnsi="方正仿宋_GBK" w:eastAsia="方正仿宋_GBK" w:cs="方正仿宋_GBK"/>
          <w:sz w:val="32"/>
          <w:szCs w:val="32"/>
        </w:rPr>
        <w:t>《国有土地上房屋征收评估办法》</w:t>
      </w:r>
      <w:r>
        <w:rPr>
          <w:rFonts w:hint="eastAsia" w:ascii="方正仿宋_GBK" w:hAnsi="方正仿宋_GBK" w:eastAsia="方正仿宋_GBK" w:cs="方正仿宋_GBK"/>
          <w:sz w:val="32"/>
          <w:szCs w:val="32"/>
          <w:lang w:eastAsia="zh-CN"/>
        </w:rPr>
        <w:t>、《莎车县城镇危旧房、城中村改造综合治理办法（试行）》</w:t>
      </w:r>
      <w:r>
        <w:rPr>
          <w:rFonts w:hint="eastAsia" w:ascii="方正仿宋_GBK" w:hAnsi="方正仿宋_GBK" w:eastAsia="方正仿宋_GBK" w:cs="方正仿宋_GBK"/>
          <w:sz w:val="32"/>
          <w:szCs w:val="32"/>
          <w:lang w:val="en-US" w:eastAsia="zh-CN"/>
        </w:rPr>
        <w:t>等法规执行</w:t>
      </w:r>
      <w:r>
        <w:rPr>
          <w:rFonts w:hint="eastAsia" w:ascii="方正仿宋_GBK" w:hAnsi="方正仿宋_GBK" w:eastAsia="方正仿宋_GBK" w:cs="方正仿宋_GBK"/>
          <w:sz w:val="32"/>
          <w:szCs w:val="32"/>
        </w:rPr>
        <w:t>，并确保最终评估价值不低于被征收房屋类似房地产的市场价格。</w:t>
      </w:r>
    </w:p>
    <w:p w14:paraId="05ECF8A1">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结果公示与异议处理：</w:t>
      </w:r>
      <w:r>
        <w:rPr>
          <w:rFonts w:hint="eastAsia" w:ascii="方正仿宋_GBK" w:hAnsi="方正仿宋_GBK" w:eastAsia="方正仿宋_GBK" w:cs="方正仿宋_GBK"/>
          <w:sz w:val="32"/>
          <w:szCs w:val="32"/>
        </w:rPr>
        <w:t>分户初步评估结果在征收范围内公示。被征收人对评估结果有异议的，可自收到评估报告之日起</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日内向原评估机构书面申请复核评估；对复核结果仍有异议的，可自收到复核结果之日起</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日内向新疆维吾尔自治区房地产价格评估专家委员会申请鉴定。鉴定费用承担按相关规定执行。</w:t>
      </w:r>
    </w:p>
    <w:p w14:paraId="113CB53D">
      <w:pPr>
        <w:bidi w:val="0"/>
        <w:ind w:left="638" w:leftChars="304" w:firstLine="0" w:firstLineChars="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（二）安置方式</w:t>
      </w:r>
      <w:r>
        <w:rPr>
          <w:rFonts w:hint="eastAsia" w:ascii="方正楷体_GBK" w:hAnsi="方正楷体_GBK" w:eastAsia="方正楷体_GBK" w:cs="方正楷体_GBK"/>
          <w:b/>
          <w:bCs/>
          <w:sz w:val="32"/>
          <w:szCs w:val="32"/>
        </w:rPr>
        <w:br w:type="textWrapping"/>
      </w:r>
      <w:r>
        <w:rPr>
          <w:rFonts w:hint="eastAsia" w:ascii="方正仿宋_GBK" w:hAnsi="方正仿宋_GBK" w:eastAsia="方正仿宋_GBK" w:cs="方正仿宋_GBK"/>
          <w:sz w:val="32"/>
          <w:szCs w:val="32"/>
        </w:rPr>
        <w:t>本项</w:t>
      </w:r>
      <w:r>
        <w:rPr>
          <w:rFonts w:hint="eastAsia" w:ascii="方正仿宋_GBK" w:hAnsi="方正仿宋_GBK" w:eastAsia="方正仿宋_GBK" w:cs="方正仿宋_GBK"/>
          <w:sz w:val="32"/>
          <w:szCs w:val="32"/>
          <w:lang w:val="en-US" w:eastAsia="zh-CN"/>
        </w:rPr>
        <w:t>目</w:t>
      </w:r>
      <w:r>
        <w:rPr>
          <w:rFonts w:hint="eastAsia" w:ascii="方正仿宋_GBK" w:hAnsi="方正仿宋_GBK" w:eastAsia="方正仿宋_GBK" w:cs="方正仿宋_GBK"/>
          <w:sz w:val="32"/>
          <w:szCs w:val="32"/>
        </w:rPr>
        <w:t>采取实物安置的方式。</w:t>
      </w:r>
    </w:p>
    <w:p w14:paraId="5BEC4269">
      <w:pPr>
        <w:bidi w:val="0"/>
        <w:ind w:left="638" w:leftChars="304" w:firstLine="0" w:firstLine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安置原则</w:t>
      </w:r>
    </w:p>
    <w:p w14:paraId="6771C12F">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价值置换：</w:t>
      </w:r>
      <w:r>
        <w:rPr>
          <w:rFonts w:hint="eastAsia" w:ascii="方正仿宋_GBK" w:hAnsi="方正仿宋_GBK" w:eastAsia="方正仿宋_GBK" w:cs="方正仿宋_GBK"/>
          <w:sz w:val="32"/>
          <w:szCs w:val="32"/>
        </w:rPr>
        <w:t>以被征收房屋评估总价值作为置换基准。</w:t>
      </w:r>
    </w:p>
    <w:p w14:paraId="57580CD7">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自主选择：</w:t>
      </w:r>
      <w:r>
        <w:rPr>
          <w:rFonts w:hint="eastAsia" w:ascii="方正仿宋_GBK" w:hAnsi="方正仿宋_GBK" w:eastAsia="方正仿宋_GBK" w:cs="方正仿宋_GBK"/>
          <w:sz w:val="32"/>
          <w:szCs w:val="32"/>
        </w:rPr>
        <w:t>被征收人在政府统一回购提供的商品房房源</w:t>
      </w:r>
      <w:r>
        <w:rPr>
          <w:rFonts w:hint="eastAsia" w:ascii="方正仿宋_GBK" w:hAnsi="方正仿宋_GBK" w:eastAsia="方正仿宋_GBK" w:cs="方正仿宋_GBK"/>
          <w:sz w:val="32"/>
          <w:szCs w:val="32"/>
          <w:lang w:val="en-US" w:eastAsia="zh-CN"/>
        </w:rPr>
        <w:t>及其他实物安置标的中</w:t>
      </w:r>
      <w:r>
        <w:rPr>
          <w:rFonts w:hint="eastAsia" w:ascii="方正仿宋_GBK" w:hAnsi="方正仿宋_GBK" w:eastAsia="方正仿宋_GBK" w:cs="方正仿宋_GBK"/>
          <w:sz w:val="32"/>
          <w:szCs w:val="32"/>
        </w:rPr>
        <w:t>，按照签约顺序自主选择房源。</w:t>
      </w:r>
    </w:p>
    <w:p w14:paraId="367EAFBA">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差价结算</w:t>
      </w:r>
      <w:r>
        <w:rPr>
          <w:rFonts w:hint="eastAsia" w:ascii="方正仿宋_GBK" w:hAnsi="方正仿宋_GBK" w:eastAsia="方正仿宋_GBK" w:cs="方正仿宋_GBK"/>
          <w:sz w:val="32"/>
          <w:szCs w:val="32"/>
        </w:rPr>
        <w:t>：被征收房屋价值与所选安置房屋价值存在差价的，双方结清差价。差价结算在安置房交付前完成。</w:t>
      </w:r>
    </w:p>
    <w:p w14:paraId="4E93F529">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安置措施</w:t>
      </w:r>
    </w:p>
    <w:p w14:paraId="7C3E0B10">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sz w:val="32"/>
          <w:szCs w:val="32"/>
        </w:rPr>
        <w:t>对于被征收房屋评估价值不足以支付所选安置房全部房款的被征收人，允许将评估价值作为首付款，剩余房款可根据相关政策通过商业贷款、住房公积金贷款等方式自行解决。</w:t>
      </w:r>
    </w:p>
    <w:p w14:paraId="22E53C04">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sz w:val="32"/>
          <w:szCs w:val="32"/>
        </w:rPr>
        <w:t>在提供安置住房的基础上，构建包含商铺、地下存储间、小区停车位等在内的多样化实物安置补充体系，以满足部分被征收人的资产配置需求。</w:t>
      </w:r>
    </w:p>
    <w:p w14:paraId="48FA04B8">
      <w:pPr>
        <w:bidi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安置奖励</w:t>
      </w:r>
    </w:p>
    <w:p w14:paraId="7B35CD3C">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为鼓励被征收人积极配合征收工作，对选择实物安置并在规定期限内签约搬迁的给予奖励：在签约起始日起 30日内签订补偿协议并完成搬迁交房的，按被征收房屋评估价值的 20% 给予奖励。在签约起始日起第31日至60日内 签订补偿协议并完成搬迁交房的，按被征收房屋评估价值的 10% 给予奖励。超过60日签约期限的，不予奖励。奖励资金可用于直接抵扣置换安置房源的差价。</w:t>
      </w:r>
    </w:p>
    <w:p w14:paraId="1A3F7AA6">
      <w:pPr>
        <w:bidi w:val="0"/>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4.房源公示与选房组织</w:t>
      </w:r>
    </w:p>
    <w:p w14:paraId="3B1B592B">
      <w:pPr>
        <w:bidi w:val="0"/>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安置房源的具体信息（包括位置、户型、面积、交付时间等）将在征收范围内及相关公共场所进行公示。征收实施单位将协同属地镇（街道）、村（社区）统一组织被征收人实地看房，并按照签约先后顺序分批、有序开展选房工作。选房过程全程公开，结果及时公示，接受群众监督。</w:t>
      </w:r>
    </w:p>
    <w:p w14:paraId="5BAECC7A">
      <w:pPr>
        <w:bidi w:val="0"/>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（三）其他补偿</w:t>
      </w:r>
    </w:p>
    <w:p w14:paraId="63DC789C">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搬迁补偿费</w:t>
      </w:r>
      <w:r>
        <w:rPr>
          <w:rFonts w:hint="eastAsia" w:ascii="方正仿宋_GBK" w:hAnsi="方正仿宋_GBK" w:eastAsia="方正仿宋_GBK" w:cs="方正仿宋_GBK"/>
          <w:sz w:val="32"/>
          <w:szCs w:val="32"/>
        </w:rPr>
        <w:t>：因征收房屋造成搬迁的，房屋征收部门向被征收人支付搬迁补偿费。具体标准由征收部门与被征收人协商确定；协商不成的，可参照市场价格</w:t>
      </w:r>
      <w:r>
        <w:rPr>
          <w:rFonts w:hint="eastAsia" w:ascii="方正仿宋_GBK" w:hAnsi="方正仿宋_GBK" w:eastAsia="方正仿宋_GBK" w:cs="方正仿宋_GBK"/>
          <w:sz w:val="32"/>
          <w:szCs w:val="32"/>
          <w:lang w:val="en-US" w:eastAsia="zh-CN"/>
        </w:rPr>
        <w:t>由第三方评估机构</w:t>
      </w:r>
      <w:r>
        <w:rPr>
          <w:rFonts w:hint="eastAsia" w:ascii="方正仿宋_GBK" w:hAnsi="方正仿宋_GBK" w:eastAsia="方正仿宋_GBK" w:cs="方正仿宋_GBK"/>
          <w:sz w:val="32"/>
          <w:szCs w:val="32"/>
        </w:rPr>
        <w:t>评估确定。</w:t>
      </w:r>
    </w:p>
    <w:p w14:paraId="6162ACC1">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临时安置补偿费：</w:t>
      </w:r>
      <w:r>
        <w:rPr>
          <w:rFonts w:hint="eastAsia" w:ascii="方正仿宋_GBK" w:hAnsi="方正仿宋_GBK" w:eastAsia="方正仿宋_GBK" w:cs="方正仿宋_GBK"/>
          <w:sz w:val="32"/>
          <w:szCs w:val="32"/>
        </w:rPr>
        <w:t>临时过渡由征收部门向被征收人提供周转用房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征收部门提供周转用房的，不支付临时安置补偿费。被征收人自行解决周转用房的，房屋征收部门应当按照类似房屋市场租赁价与被征收人协商确定并支付临时安置补偿费。安置房为现房的，不支付临时安置补偿费。</w:t>
      </w:r>
    </w:p>
    <w:p w14:paraId="110AD806">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停产停业损失补偿：</w:t>
      </w:r>
      <w:r>
        <w:rPr>
          <w:rFonts w:hint="eastAsia" w:ascii="方正仿宋_GBK" w:hAnsi="方正仿宋_GBK" w:eastAsia="方正仿宋_GBK" w:cs="方正仿宋_GBK"/>
          <w:sz w:val="32"/>
          <w:szCs w:val="32"/>
        </w:rPr>
        <w:t>对征收范围内合法经营的房屋造成停产停业损失的，给予补偿。补偿标准由征收部门与被征收人协商确定；协商不成的，可委托评估机构评估确定。在征收决定公告前已自行停产停业超过一定期限的，不予补偿。</w:t>
      </w:r>
    </w:p>
    <w:p w14:paraId="27517961">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装饰装修及附属设施补偿：</w:t>
      </w:r>
      <w:r>
        <w:rPr>
          <w:rFonts w:hint="eastAsia" w:ascii="方正仿宋_GBK" w:hAnsi="方正仿宋_GBK" w:eastAsia="方正仿宋_GBK" w:cs="方正仿宋_GBK"/>
          <w:sz w:val="32"/>
          <w:szCs w:val="32"/>
        </w:rPr>
        <w:t>按《莎车县城镇危旧房、城中村改造综合治理办法（试行）》</w:t>
      </w:r>
      <w:r>
        <w:rPr>
          <w:rFonts w:hint="eastAsia" w:ascii="方正仿宋_GBK" w:hAnsi="方正仿宋_GBK" w:eastAsia="方正仿宋_GBK" w:cs="方正仿宋_GBK"/>
          <w:sz w:val="32"/>
          <w:szCs w:val="32"/>
          <w:lang w:val="en-US" w:eastAsia="zh-CN"/>
        </w:rPr>
        <w:t>标准，以</w:t>
      </w:r>
      <w:r>
        <w:rPr>
          <w:rFonts w:hint="eastAsia" w:ascii="方正仿宋_GBK" w:hAnsi="方正仿宋_GBK" w:eastAsia="方正仿宋_GBK" w:cs="方正仿宋_GBK"/>
          <w:sz w:val="32"/>
          <w:szCs w:val="32"/>
        </w:rPr>
        <w:t>评估结果给予补偿。</w:t>
      </w:r>
    </w:p>
    <w:p w14:paraId="65EE33DB">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5.改变用途房屋（住改非）的补偿：</w:t>
      </w:r>
      <w:r>
        <w:rPr>
          <w:rFonts w:hint="eastAsia" w:ascii="方正仿宋_GBK" w:hAnsi="方正仿宋_GBK" w:eastAsia="方正仿宋_GBK" w:cs="方正仿宋_GBK"/>
          <w:snapToGrid w:val="0"/>
          <w:color w:val="000000"/>
          <w:kern w:val="0"/>
          <w:sz w:val="31"/>
          <w:szCs w:val="31"/>
          <w:lang w:val="en-US" w:eastAsia="zh-CN" w:bidi="ar"/>
        </w:rPr>
        <w:t>对于在房屋征收范围确定前，已经办理了工商、税务登记的房屋，由县人民政府组织自然资源局、市场监督管理局、税务局、城镇发展服务中心、属地乡镇（街道）等部门认定后，根据认定结果给予补偿。经认定为合法改变用途或虽属历史遗留问题但不宜按违法情形处理的，房屋权属证载明为住宅或被认定为住宅，已取得营业执照且依法纳税</w:t>
      </w:r>
      <w:r>
        <w:rPr>
          <w:rFonts w:hint="default" w:ascii="Times New Roman" w:hAnsi="Times New Roman" w:eastAsia="宋体" w:cs="Times New Roman"/>
          <w:snapToGrid w:val="0"/>
          <w:color w:val="000000"/>
          <w:kern w:val="0"/>
          <w:sz w:val="31"/>
          <w:szCs w:val="31"/>
          <w:lang w:val="en-US" w:eastAsia="zh-CN" w:bidi="ar"/>
        </w:rPr>
        <w:t>12</w:t>
      </w:r>
      <w:r>
        <w:rPr>
          <w:rFonts w:hint="eastAsia" w:ascii="方正仿宋_GBK" w:hAnsi="方正仿宋_GBK" w:eastAsia="方正仿宋_GBK" w:cs="方正仿宋_GBK"/>
          <w:snapToGrid w:val="0"/>
          <w:color w:val="000000"/>
          <w:kern w:val="0"/>
          <w:sz w:val="31"/>
          <w:szCs w:val="31"/>
          <w:lang w:val="en-US" w:eastAsia="zh-CN" w:bidi="ar"/>
        </w:rPr>
        <w:t>个月以上实际用于经营的部分， 根据年限按照住宅评估价标准适当提高补偿，具体为：连续经营</w:t>
      </w:r>
      <w:r>
        <w:rPr>
          <w:rFonts w:hint="default" w:ascii="Times New Roman" w:hAnsi="Times New Roman" w:eastAsia="宋体" w:cs="Times New Roman"/>
          <w:snapToGrid w:val="0"/>
          <w:color w:val="000000"/>
          <w:kern w:val="0"/>
          <w:sz w:val="31"/>
          <w:szCs w:val="31"/>
          <w:lang w:val="en-US" w:eastAsia="zh-CN" w:bidi="ar"/>
        </w:rPr>
        <w:t>12</w:t>
      </w:r>
      <w:r>
        <w:rPr>
          <w:rFonts w:hint="eastAsia" w:ascii="方正仿宋_GBK" w:hAnsi="方正仿宋_GBK" w:eastAsia="方正仿宋_GBK" w:cs="方正仿宋_GBK"/>
          <w:snapToGrid w:val="0"/>
          <w:color w:val="000000"/>
          <w:kern w:val="0"/>
          <w:sz w:val="31"/>
          <w:szCs w:val="31"/>
          <w:lang w:val="en-US" w:eastAsia="zh-CN" w:bidi="ar"/>
        </w:rPr>
        <w:t xml:space="preserve">个月以上的提高 </w:t>
      </w:r>
      <w:r>
        <w:rPr>
          <w:rFonts w:hint="default" w:ascii="Times New Roman" w:hAnsi="Times New Roman" w:eastAsia="宋体" w:cs="Times New Roman"/>
          <w:snapToGrid w:val="0"/>
          <w:color w:val="000000"/>
          <w:kern w:val="0"/>
          <w:sz w:val="31"/>
          <w:szCs w:val="31"/>
          <w:lang w:val="en-US" w:eastAsia="zh-CN" w:bidi="ar"/>
        </w:rPr>
        <w:t>20%</w:t>
      </w:r>
      <w:r>
        <w:rPr>
          <w:rFonts w:hint="eastAsia" w:ascii="方正仿宋_GBK" w:hAnsi="方正仿宋_GBK" w:eastAsia="方正仿宋_GBK" w:cs="方正仿宋_GBK"/>
          <w:snapToGrid w:val="0"/>
          <w:color w:val="000000"/>
          <w:kern w:val="0"/>
          <w:sz w:val="31"/>
          <w:szCs w:val="31"/>
          <w:lang w:val="en-US" w:eastAsia="zh-CN" w:bidi="ar"/>
        </w:rPr>
        <w:t>，连续经营</w:t>
      </w:r>
      <w:r>
        <w:rPr>
          <w:rFonts w:hint="default" w:ascii="Times New Roman" w:hAnsi="Times New Roman" w:eastAsia="宋体" w:cs="Times New Roman"/>
          <w:snapToGrid w:val="0"/>
          <w:color w:val="000000"/>
          <w:kern w:val="0"/>
          <w:sz w:val="31"/>
          <w:szCs w:val="31"/>
          <w:lang w:val="en-US" w:eastAsia="zh-CN" w:bidi="ar"/>
        </w:rPr>
        <w:t>60</w:t>
      </w:r>
      <w:r>
        <w:rPr>
          <w:rFonts w:hint="eastAsia" w:ascii="方正仿宋_GBK" w:hAnsi="方正仿宋_GBK" w:eastAsia="方正仿宋_GBK" w:cs="方正仿宋_GBK"/>
          <w:snapToGrid w:val="0"/>
          <w:color w:val="000000"/>
          <w:kern w:val="0"/>
          <w:sz w:val="31"/>
          <w:szCs w:val="31"/>
          <w:lang w:val="en-US" w:eastAsia="zh-CN" w:bidi="ar"/>
        </w:rPr>
        <w:t xml:space="preserve">个月以上的提高 </w:t>
      </w:r>
      <w:r>
        <w:rPr>
          <w:rFonts w:hint="default" w:ascii="Times New Roman" w:hAnsi="Times New Roman" w:eastAsia="宋体" w:cs="Times New Roman"/>
          <w:snapToGrid w:val="0"/>
          <w:color w:val="000000"/>
          <w:kern w:val="0"/>
          <w:sz w:val="31"/>
          <w:szCs w:val="31"/>
          <w:lang w:val="en-US" w:eastAsia="zh-CN" w:bidi="ar"/>
        </w:rPr>
        <w:t>40%</w:t>
      </w:r>
      <w:r>
        <w:rPr>
          <w:rFonts w:hint="eastAsia" w:ascii="方正仿宋_GBK" w:hAnsi="方正仿宋_GBK" w:eastAsia="方正仿宋_GBK" w:cs="方正仿宋_GBK"/>
          <w:snapToGrid w:val="0"/>
          <w:color w:val="000000"/>
          <w:kern w:val="0"/>
          <w:sz w:val="31"/>
          <w:szCs w:val="31"/>
          <w:lang w:val="en-US" w:eastAsia="zh-CN" w:bidi="ar"/>
        </w:rPr>
        <w:t>，连续经营</w:t>
      </w:r>
      <w:r>
        <w:rPr>
          <w:rFonts w:hint="default" w:ascii="Times New Roman" w:hAnsi="Times New Roman" w:eastAsia="宋体" w:cs="Times New Roman"/>
          <w:snapToGrid w:val="0"/>
          <w:color w:val="000000"/>
          <w:kern w:val="0"/>
          <w:sz w:val="31"/>
          <w:szCs w:val="31"/>
          <w:lang w:val="en-US" w:eastAsia="zh-CN" w:bidi="ar"/>
        </w:rPr>
        <w:t>120</w:t>
      </w:r>
      <w:r>
        <w:rPr>
          <w:rFonts w:hint="eastAsia" w:ascii="方正仿宋_GBK" w:hAnsi="方正仿宋_GBK" w:eastAsia="方正仿宋_GBK" w:cs="方正仿宋_GBK"/>
          <w:snapToGrid w:val="0"/>
          <w:color w:val="000000"/>
          <w:kern w:val="0"/>
          <w:sz w:val="31"/>
          <w:szCs w:val="31"/>
          <w:lang w:val="en-US" w:eastAsia="zh-CN" w:bidi="ar"/>
        </w:rPr>
        <w:t>个月以上的提高</w:t>
      </w:r>
      <w:r>
        <w:rPr>
          <w:rFonts w:hint="default" w:ascii="Times New Roman" w:hAnsi="Times New Roman" w:eastAsia="宋体" w:cs="Times New Roman"/>
          <w:snapToGrid w:val="0"/>
          <w:color w:val="000000"/>
          <w:kern w:val="0"/>
          <w:sz w:val="31"/>
          <w:szCs w:val="31"/>
          <w:lang w:val="en-US" w:eastAsia="zh-CN" w:bidi="ar"/>
        </w:rPr>
        <w:t>60%</w:t>
      </w:r>
      <w:r>
        <w:rPr>
          <w:rFonts w:hint="eastAsia" w:ascii="方正仿宋_GBK" w:hAnsi="方正仿宋_GBK" w:eastAsia="方正仿宋_GBK" w:cs="方正仿宋_GBK"/>
          <w:snapToGrid w:val="0"/>
          <w:color w:val="000000"/>
          <w:kern w:val="0"/>
          <w:sz w:val="31"/>
          <w:szCs w:val="31"/>
          <w:lang w:val="en-US" w:eastAsia="zh-CN" w:bidi="ar"/>
        </w:rPr>
        <w:t xml:space="preserve">，计算截止日期为评估公司进驻开展工作之日。 </w:t>
      </w:r>
    </w:p>
    <w:p w14:paraId="4D679744">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6.</w:t>
      </w:r>
      <w:r>
        <w:rPr>
          <w:rFonts w:hint="eastAsia" w:ascii="方正仿宋_GBK" w:hAnsi="方正仿宋_GBK" w:eastAsia="方正仿宋_GBK" w:cs="方正仿宋_GBK"/>
          <w:b/>
          <w:bCs/>
          <w:sz w:val="32"/>
          <w:szCs w:val="32"/>
        </w:rPr>
        <w:t>其他补助：</w:t>
      </w:r>
      <w:r>
        <w:rPr>
          <w:rFonts w:hint="eastAsia" w:ascii="方正仿宋_GBK" w:hAnsi="方正仿宋_GBK" w:eastAsia="方正仿宋_GBK" w:cs="方正仿宋_GBK"/>
          <w:sz w:val="32"/>
          <w:szCs w:val="32"/>
        </w:rPr>
        <w:t>针对生活困难家庭等特殊群体，按国家及地方有关社会救助政策规定给予必要补助。</w:t>
      </w:r>
    </w:p>
    <w:p w14:paraId="72251A13">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四、住房保障</w:t>
      </w:r>
    </w:p>
    <w:p w14:paraId="05F6EED4">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对于符合莎车县公共租赁住房保障条件、选择实物安置后仍有特殊困难的家庭，可按《莎车县公共租赁住房管理办法》相关规定申请租住公租房。</w:t>
      </w:r>
    </w:p>
    <w:p w14:paraId="18BE1FBC">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五、评估机构选定</w:t>
      </w:r>
    </w:p>
    <w:p w14:paraId="026F8E58">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房地产价格评估机构由被征收人在规定期限内协商选定；协商不成的，由房屋征收部门通过组织被征收人按照少数服从多数的原则投票或采取摇号、抽签等随机方式确定。</w:t>
      </w:r>
    </w:p>
    <w:p w14:paraId="6A6F1646">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六、补偿协议订立</w:t>
      </w:r>
    </w:p>
    <w:p w14:paraId="19AD1CD6">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房屋征收部门与被征收人就补偿方式、补偿金额和支付期限、安置房源信息和交付时间、搬迁费、临时安置费、停产停业损失、搬迁期限、过渡方式和过渡期限等事项，订立补偿协议。补偿协议订立后，一</w:t>
      </w:r>
      <w:r>
        <w:rPr>
          <w:rFonts w:hint="eastAsia" w:ascii="方正仿宋_GBK" w:hAnsi="方正仿宋_GBK" w:eastAsia="方正仿宋_GBK" w:cs="方正仿宋_GBK"/>
          <w:sz w:val="32"/>
          <w:szCs w:val="32"/>
          <w:lang w:val="en-US" w:eastAsia="zh-CN"/>
        </w:rPr>
        <w:t>方</w:t>
      </w:r>
      <w:r>
        <w:rPr>
          <w:rFonts w:hint="eastAsia" w:ascii="方正仿宋_GBK" w:hAnsi="方正仿宋_GBK" w:eastAsia="方正仿宋_GBK" w:cs="方正仿宋_GBK"/>
          <w:sz w:val="32"/>
          <w:szCs w:val="32"/>
        </w:rPr>
        <w:t>当事人不履行协议约定义务的，另一方当事人可依法提起诉讼。</w:t>
      </w:r>
    </w:p>
    <w:p w14:paraId="0159604C">
      <w:pPr>
        <w:bidi w:val="0"/>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七、补偿决定及强制执行</w:t>
      </w:r>
    </w:p>
    <w:p w14:paraId="1EDC1AE1">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签约期限内达不成补偿协议，或被征收房屋所有权人不明确的，由房屋征收部门报请县人民政府，按照本方案作出补偿决定，并予以公告。被征收人对补偿决定不服的，可以依法申请行政复议，也可以依法提起行政诉讼。被征收人在法定期限内不申请行政复议或不提起行政诉讼，在补偿决定规定的期限内又不搬迁的，由县人民政府依法申请人民法院强制执行。</w:t>
      </w:r>
    </w:p>
    <w:p w14:paraId="0F7D4080">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八、监督与责任</w:t>
      </w:r>
    </w:p>
    <w:p w14:paraId="2FCF9DD2">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（一）强化监督管理，保障资金安全</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rPr>
        <w:t>县纪委监委、审计局、财政局等部门对征收补偿资金的使用和管理情况进行全程监督。</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（二）</w:t>
      </w:r>
      <w:r>
        <w:rPr>
          <w:rStyle w:val="6"/>
          <w:rFonts w:hint="eastAsia" w:ascii="方正楷体_GBK" w:hAnsi="方正楷体_GBK" w:eastAsia="方正楷体_GBK" w:cs="方正楷体_GBK"/>
          <w:b/>
          <w:bCs/>
          <w:i w:val="0"/>
          <w:iCs w:val="0"/>
          <w:caps w:val="0"/>
          <w:color w:val="0F1115"/>
          <w:spacing w:val="0"/>
          <w:sz w:val="19"/>
          <w:szCs w:val="19"/>
          <w:shd w:val="clear" w:fill="FFFFFF"/>
        </w:rPr>
        <w:t> </w:t>
      </w:r>
      <w:r>
        <w:rPr>
          <w:rFonts w:hint="eastAsia" w:ascii="方正楷体_GBK" w:hAnsi="方正楷体_GBK" w:eastAsia="方正楷体_GBK" w:cs="方正楷体_GBK"/>
          <w:b/>
          <w:bCs/>
          <w:sz w:val="32"/>
          <w:szCs w:val="32"/>
        </w:rPr>
        <w:t>压实部门责任，依法履职问</w:t>
      </w:r>
      <w:r>
        <w:rPr>
          <w:rFonts w:hint="default" w:ascii="方正楷体_GBK" w:hAnsi="方正楷体_GBK" w:eastAsia="方正楷体_GBK" w:cs="方正楷体_GBK"/>
          <w:b/>
          <w:bCs/>
          <w:sz w:val="32"/>
          <w:szCs w:val="32"/>
        </w:rPr>
        <w:t>责</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rPr>
        <w:t>各相关单位必须严格按照职责分工，密切配合，依法履职。对工作中滥用职权、玩忽职守、徇私舞弊的，依法追究责任。</w:t>
      </w:r>
    </w:p>
    <w:p w14:paraId="6CE3E8B1">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九、附则</w:t>
      </w:r>
    </w:p>
    <w:p w14:paraId="25EE9EBC">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（一）本方案未尽事宜，按照有关法律法规及莎车县相关政策文件执行。</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（二）本方案由莎车县保障性住房服务中心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莎车县城镇发展服务中心）</w:t>
      </w:r>
      <w:r>
        <w:rPr>
          <w:rFonts w:hint="eastAsia" w:ascii="方正仿宋_GBK" w:hAnsi="方正仿宋_GBK" w:eastAsia="方正仿宋_GBK" w:cs="方正仿宋_GBK"/>
          <w:sz w:val="32"/>
          <w:szCs w:val="32"/>
        </w:rPr>
        <w:t>负责解释。</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（三）本方案在征求意见后，将连同征求意见情况及修改情况一并上报县人民政府，经批准后与房屋征收决定同时公告。</w:t>
      </w:r>
    </w:p>
    <w:p w14:paraId="06E956D1">
      <w:pPr>
        <w:bidi w:val="0"/>
        <w:rPr>
          <w:rFonts w:hint="eastAsia" w:ascii="方正仿宋_GBK" w:hAnsi="方正仿宋_GBK" w:eastAsia="方正仿宋_GBK" w:cs="方正仿宋_GBK"/>
          <w:sz w:val="32"/>
          <w:szCs w:val="32"/>
        </w:rPr>
      </w:pPr>
    </w:p>
    <w:p w14:paraId="77178CE4">
      <w:pPr>
        <w:bidi w:val="0"/>
        <w:rPr>
          <w:rFonts w:hint="eastAsia" w:ascii="方正仿宋_GBK" w:hAnsi="方正仿宋_GBK" w:eastAsia="方正仿宋_GBK" w:cs="方正仿宋_GBK"/>
          <w:sz w:val="32"/>
          <w:szCs w:val="32"/>
        </w:rPr>
      </w:pPr>
    </w:p>
    <w:p w14:paraId="2D0469EB">
      <w:pPr>
        <w:bidi w:val="0"/>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1" w:fontKey="{24578822-E619-413E-B107-EA108DF9703D}"/>
  </w:font>
  <w:font w:name="方正仿宋_GBK">
    <w:panose1 w:val="02000000000000000000"/>
    <w:charset w:val="86"/>
    <w:family w:val="auto"/>
    <w:pitch w:val="default"/>
    <w:sig w:usb0="A00002BF" w:usb1="38CF7CFA" w:usb2="00082016" w:usb3="00000000" w:csb0="00040001" w:csb1="00000000"/>
    <w:embedRegular r:id="rId2" w:fontKey="{9AA75525-7EFC-4CA6-B83C-5508DB5724AC}"/>
  </w:font>
  <w:font w:name="方正楷体_GBK">
    <w:panose1 w:val="02000000000000000000"/>
    <w:charset w:val="86"/>
    <w:family w:val="auto"/>
    <w:pitch w:val="default"/>
    <w:sig w:usb0="800002BF" w:usb1="38CF7CFA" w:usb2="00000016" w:usb3="00000000" w:csb0="00040000" w:csb1="00000000"/>
    <w:embedRegular r:id="rId3" w:fontKey="{373B4459-D9FC-42B8-A778-DD07A4DB63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61F4C"/>
    <w:rsid w:val="02073EC3"/>
    <w:rsid w:val="0DC61F4C"/>
    <w:rsid w:val="13685340"/>
    <w:rsid w:val="16DC407B"/>
    <w:rsid w:val="1715758D"/>
    <w:rsid w:val="1E44304D"/>
    <w:rsid w:val="22081D62"/>
    <w:rsid w:val="27D1767F"/>
    <w:rsid w:val="3BFA097C"/>
    <w:rsid w:val="3C3008A7"/>
    <w:rsid w:val="53655CA4"/>
    <w:rsid w:val="5C25294F"/>
    <w:rsid w:val="5D4E65BA"/>
    <w:rsid w:val="720722A4"/>
    <w:rsid w:val="72D80F4F"/>
    <w:rsid w:val="74E92D60"/>
    <w:rsid w:val="7A72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0"/>
      <w:szCs w:val="50"/>
      <w:lang w:val="en-US" w:eastAsia="en-US" w:bidi="ar-SA"/>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3251</Words>
  <Characters>3324</Characters>
  <Lines>0</Lines>
  <Paragraphs>0</Paragraphs>
  <TotalTime>13</TotalTime>
  <ScaleCrop>false</ScaleCrop>
  <LinksUpToDate>false</LinksUpToDate>
  <CharactersWithSpaces>3367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2026-01-06T04:40:00Z</dcterms:created>
  <dc:creator>李晓飞</dc:creator>
  <cp:lastModifiedBy>李晓飞</cp:lastModifiedBy>
  <dcterms:modified xsi:type="dcterms:W3CDTF">2026-02-09T04:52:01Z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AA1C1266B43141C1A8BF16D12AD0B919_13</vt:lpwstr>
  </property>
  <property fmtid="{D5CDD505-2E9C-101B-9397-08002B2CF9AE}" pid="4" name="KSOTemplateDocerSaveRecord">
    <vt:lpwstr>eyJoZGlkIjoiMGIwYjk5OGUxNzYyZDNkMTRiMDk2ODQ2NjU2YTg5Y2YiLCJ1c2VySWQiOiIyOTk1MzcxMzYifQ==</vt:lpwstr>
  </property>
</Properties>
</file>