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9"/>
          <w:szCs w:val="3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9"/>
          <w:szCs w:val="39"/>
          <w:shd w:val="clear" w:fill="FFFFFF"/>
          <w:lang w:eastAsia="zh-CN"/>
          <w14:textFill>
            <w14:solidFill>
              <w14:schemeClr w14:val="tx1"/>
            </w14:solidFill>
          </w14:textFill>
        </w:rPr>
        <w:t>莎车县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9"/>
          <w:szCs w:val="39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9"/>
          <w:szCs w:val="3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9"/>
          <w:szCs w:val="39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9"/>
          <w:szCs w:val="3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上半年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9"/>
          <w:szCs w:val="39"/>
          <w:shd w:val="clear" w:fill="FFFFFF"/>
          <w14:textFill>
            <w14:solidFill>
              <w14:schemeClr w14:val="tx1"/>
            </w14:solidFill>
          </w14:textFill>
        </w:rPr>
        <w:t>经济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9"/>
          <w:szCs w:val="3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运行情况分析</w:t>
      </w:r>
    </w:p>
    <w:p>
      <w:pPr>
        <w:pStyle w:val="6"/>
        <w:rPr>
          <w:rFonts w:hint="eastAsi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上半年，全县经济持续承压前行，增长态势放缓。面对经济下行压力，莎车县委、县政府积极应对，全力以赴促经济、抓项目、稳发展，工业生产保持较快增长，固定资产投资由负转正、文旅市场消费活跃，上半年全县经济运行有所放缓，但总体呈现稳定态势。全县主要经济指标较一季度回落明显，排位下降，部分指标低于全地区平均水平，要实现全年经济增长目标压力较大，形势较严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val="en-US" w:eastAsia="zh-CN"/>
        </w:rPr>
        <w:t>一、上半年主要经济指标完成情况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经地区统计局反馈，全县实现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生产总值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810246万元，同比增长2.3%，增速低于地区平均水平（5.4%）3.1个百分点，经济总量居全地区第2位，增速排第12位；其中，第一产业增加值277774万元，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占GDP比重为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34.3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，同比下降11.6%；第二产业增加值163834万元，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占GDP比重为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20.2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，同比增长21.2%；第三产业增加值368638万元，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占GDP比重为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45.5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，同比增长5.4%；三次产业结构为34.3：20.2：45.5,呈现三一二态势。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——全口径工业增加值56214万元，同比增长20.9%，规模以上工业增加值49064.2万元，同比增长14.8%，增速高于地区平均水平（11.2%）3.6个百分点，绝对额排全地区第2位，增速排第6位。(＊)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——固定资产投资总额420717万元，同比增长1%，绝对额排全地区第2位，增速排第10位。(＊)  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——全口径社会消费品零售总额146586万元，同比增长12.9%，绝对额排全地区第3位，增速排第5位；限额以上社会消费品零售总额37004万元，同比增长17.9%，绝对额排全地区第3位，增速排第6位。(＊)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——一般公共预算收入45623万元，同比增长10.1%，绝对额排全地区第2位，增速排第12位；一般公共预算支出644514万元，同比下降3.1%，绝对额排全地区第1位，增速排第5位。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——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外贸进出口总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额2425.98万美元，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同比增长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128.7%。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——招商引资区外实际到位资金59.2亿元，同比增长0.8%。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——全县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城镇新增就业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8221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人，完成全年目标任务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13700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人的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60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%；农村劳动力转移就业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150674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人次，完成全年目标任务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19.02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万人次的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79.2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——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接待国内游客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768.01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万人次，同比增长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63.3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%；旅游收入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19.38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亿元，同比增长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151.7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——民航客运量18.32万人次，同比增长42%；货运量640.72吨，同比增长71.9%。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——全社会用电量9.11亿千瓦时，同比增长23.4%。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——居民消费价格（CPI）同比下跌0.3%。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备注：带＊号指标为统计部门统计数据，其他指标均为行业部门数据。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val="en-US" w:eastAsia="zh-CN"/>
        </w:rPr>
        <w:t>二、全县经济总体运行情况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（一）农业运行呈现下滑。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2024年二季度农林牧渔业初步反馈总产值426113.15 万元，同比下降14.86%，农林牧渔业增加值下拉一产增加值13.5个百分点，下拉生产总值4.6个百分点，其中：农业产值265294.93 万元，同比下降23.54%，林业产值3922.09 万元，同比增长57.45%，畜牧业产值93079.01万元，同比增长3.95%，渔业产值400.41万元，同比增长50.58%，农林牧渔服务业产值63416.71 万元，同比增长0.15 %。</w:t>
      </w:r>
    </w:p>
    <w:p>
      <w:pPr>
        <w:pStyle w:val="6"/>
        <w:numPr>
          <w:ilvl w:val="0"/>
          <w:numId w:val="0"/>
        </w:numPr>
        <w:ind w:leftChars="-200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38735</wp:posOffset>
            </wp:positionV>
            <wp:extent cx="5273675" cy="2686685"/>
            <wp:effectExtent l="4445" t="4445" r="17780" b="13970"/>
            <wp:wrapTopAndBottom/>
            <wp:docPr id="1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2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（二）工业经济较快增长。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lang w:val="en-US" w:eastAsia="zh-CN"/>
        </w:rPr>
        <w:t>莎车县规模以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</w:rPr>
        <w:t>上工业企业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lang w:val="en-US" w:eastAsia="zh-CN"/>
        </w:rPr>
        <w:t>49家，1-6月，规上工业企业累计实现工业总产值191858.6万元，同比增长29.32%；1-6月规上工业企业累计完成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</w:rPr>
        <w:t>工业增加值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lang w:val="en-US" w:eastAsia="zh-CN"/>
        </w:rPr>
        <w:t>49064.2万元，同比增长14.8%。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从三大门类看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采矿业,制造业,电力、热力、燃气及水生产供应业增加值分别同比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下降100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%、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增长26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%和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%。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290195</wp:posOffset>
            </wp:positionV>
            <wp:extent cx="5297805" cy="2571750"/>
            <wp:effectExtent l="4445" t="4445" r="12700" b="14605"/>
            <wp:wrapTopAndBottom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2.从产品看。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主要产品产量保持增长。全县主要规上工业产品中5种产品产量延续增长势头，锌金属含量、化学药品原药、棉纱、发电量、自来水生产量分别增长1088%、254.6%、187.4%、14.6%、1%。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2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>重点企业拉动作用凸显。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1-6月，有8家规模以上工业企业累计产值增速≥100%，其中拉动产值增长的主要企业是新疆睿灏纺织有限公司、莎车县恒昌冶炼有限公司、新华（莎车）电力投资有限公司。</w:t>
      </w:r>
    </w:p>
    <w:tbl>
      <w:tblPr>
        <w:tblStyle w:val="8"/>
        <w:tblW w:w="83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3103"/>
        <w:gridCol w:w="1281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CBEBD" w:fill="9CBEB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CBEBD" w:fill="9CBEB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单位详细名称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CBEBD" w:fill="9CBEB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增速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CBEBD" w:fill="9CBEB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占比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CBEBD" w:fill="9CBEB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贡献率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CBEBD" w:fill="9CBEB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拉动率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莎车县恒昌冶炼有限公司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891.50%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5.45%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21.60%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6.33%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新疆涛一服饰有限公司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614.69%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0.66%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2.49%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0.73%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新疆睿灏纺织有限公司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194.51%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34.16%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99.52%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29.18%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莎车县富源甘草制品有限公司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190.41%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0.35%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1.00%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0.29%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新疆宝威地毯有限公司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136.11%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0.60%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1.52%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0.45%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新疆丝路泽元新能源有限公司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0.77%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3.39%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0.99%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新华（莎车）电力投资有限公司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4.52%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19.92%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5.84%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新疆红旗线缆制造有限公司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0.72%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3.18%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2F2B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F2B20"/>
                <w:kern w:val="0"/>
                <w:sz w:val="20"/>
                <w:szCs w:val="20"/>
                <w:u w:val="none"/>
                <w:lang w:val="en-US" w:eastAsia="zh-CN" w:bidi="ar"/>
              </w:rPr>
              <w:t>0.93%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方正楷体简体" w:hAnsi="方正楷体简体" w:eastAsia="方正楷体简体" w:cs="方正楷体简体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固定资产投资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转负为正。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上半年，全县固定资产完成投资总额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420717万元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,同比增长1%，完成全年总目标（102亿）的41.2%，其中固定资产投资项目完成396235万元，同比下降2.5%，房地产开发项目完成投资24482万元，同比增长143.7%。从投资类看，其他费用和建筑安装投资保持高位增长，分别增长612%和108.9%，设备购置投资同比下降69.6%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left"/>
        <w:textAlignment w:val="auto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186055</wp:posOffset>
            </wp:positionV>
            <wp:extent cx="5108575" cy="2810510"/>
            <wp:effectExtent l="4445" t="4445" r="11430" b="23495"/>
            <wp:wrapTopAndBottom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（四）消费市场稳中有升。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1-6月，社会消费品零售总额实现146586万元，同比增长12.9%，其中，限额以上社会消费品零售总额实现37004万元，同比增长17.9%，限额以下社会消费品零售总额实现109582万元，同比增长11.2%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。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从商品销售情况看，批发业销售额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158737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万元，同比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下降25.6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%；零售业销售额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99893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万元，同比增长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1.4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%。从住餐营业情况看，住宿业营业额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8680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万元，同比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下降13.3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%；餐饮业营业额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14588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万元，同比增长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25.9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highlight w:val="yellow"/>
          <w:lang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296545</wp:posOffset>
            </wp:positionH>
            <wp:positionV relativeFrom="paragraph">
              <wp:posOffset>71120</wp:posOffset>
            </wp:positionV>
            <wp:extent cx="4953000" cy="2743200"/>
            <wp:effectExtent l="4445" t="4445" r="14605" b="14605"/>
            <wp:wrapTopAndBottom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（五）对外贸易保持较快增长。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外贸进出口总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额2425.98万美元，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同比增长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128.7%。招商引资区外实际到位资金59.2亿元，同比增长0.8%。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从主要出口产品看，服装实现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129.2万美元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，同比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下降82.8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%，甘草酸粉实现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20.5万美元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，同比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增长84.2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%，万寿菊花抽提物实现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314.6万美元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，同比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增长772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（六）财政收支一增一降。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1-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月，全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一般公共预算收入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45623万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元，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同比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增长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10.1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%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其中税收收入24240万元，占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一般公共预算收入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的53.1%，同比增长17%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，非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税收入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21383万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元，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同比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增长3.2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%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一般公共预算支出644514万元，同比下降3.1%，其中教育支出240360万元，同比下降3.5%，社会保障和就业支出64199万元，同比下降7.2%，农林水事务支出124907万元，同比下降5.4%，医疗卫生支出31766万元，同比下降31.2%。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（七）市场物价温和下跌。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上半年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，全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居民消费价格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指数下跌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0.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%。分类别看，表现为“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五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涨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降”：衣着类价格上涨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11.7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%，其医疗保健类价格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上涨4.5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%，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其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他用品和服务类价格上涨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%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教育文化和娱乐类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价格上涨0.8%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，交通和通信类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上涨0.8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%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生活用品及服务类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下跌1.4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%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居住类价格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下跌2.2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%，食品烟酒类价格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下跌4.5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%。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（八）就业形势总体稳定。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截至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月底，全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城镇新增就业人数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8221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人，完成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全年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目标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任务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的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%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实现农村富余劳动力转移就业150674人次，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zh-CN" w:eastAsia="zh-CN"/>
        </w:rPr>
        <w:t>完成全年目标任务的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79.2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zh-CN" w:eastAsia="zh-CN"/>
        </w:rPr>
        <w:t>%，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就业形势保持平稳增长。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MTE1ZDFkOWY3MGViOTg0MGYyYzhjOGQzNmVjYzcifQ=="/>
  </w:docVars>
  <w:rsids>
    <w:rsidRoot w:val="00172A27"/>
    <w:rsid w:val="00DE7F10"/>
    <w:rsid w:val="03613838"/>
    <w:rsid w:val="076A19FD"/>
    <w:rsid w:val="07912DDE"/>
    <w:rsid w:val="0A674396"/>
    <w:rsid w:val="0BC83083"/>
    <w:rsid w:val="0C8F03DE"/>
    <w:rsid w:val="0CBE5702"/>
    <w:rsid w:val="0CCF69EA"/>
    <w:rsid w:val="0E136D58"/>
    <w:rsid w:val="0E266F23"/>
    <w:rsid w:val="115F7210"/>
    <w:rsid w:val="116D4937"/>
    <w:rsid w:val="119856F1"/>
    <w:rsid w:val="12A6619B"/>
    <w:rsid w:val="147C3CF2"/>
    <w:rsid w:val="15E12D53"/>
    <w:rsid w:val="16051E38"/>
    <w:rsid w:val="16244A23"/>
    <w:rsid w:val="19267CA8"/>
    <w:rsid w:val="19367A3E"/>
    <w:rsid w:val="1D3408AB"/>
    <w:rsid w:val="1F7972EA"/>
    <w:rsid w:val="20346ADA"/>
    <w:rsid w:val="20C72C74"/>
    <w:rsid w:val="23264738"/>
    <w:rsid w:val="255C3CB7"/>
    <w:rsid w:val="2A7565CC"/>
    <w:rsid w:val="2BAA2528"/>
    <w:rsid w:val="2D3E45BA"/>
    <w:rsid w:val="2E963140"/>
    <w:rsid w:val="2EC518F8"/>
    <w:rsid w:val="2ED6440A"/>
    <w:rsid w:val="2F801F70"/>
    <w:rsid w:val="30A56C78"/>
    <w:rsid w:val="314C6865"/>
    <w:rsid w:val="336009B5"/>
    <w:rsid w:val="342E0500"/>
    <w:rsid w:val="34925A62"/>
    <w:rsid w:val="3A9A3F17"/>
    <w:rsid w:val="3B7B1A84"/>
    <w:rsid w:val="3BD647D3"/>
    <w:rsid w:val="3E1F226A"/>
    <w:rsid w:val="40F65EEF"/>
    <w:rsid w:val="41FF5C8A"/>
    <w:rsid w:val="428B500B"/>
    <w:rsid w:val="43DD5585"/>
    <w:rsid w:val="44A6072E"/>
    <w:rsid w:val="473D1D9D"/>
    <w:rsid w:val="478E3CAF"/>
    <w:rsid w:val="49B442F8"/>
    <w:rsid w:val="4B60497E"/>
    <w:rsid w:val="4B9F51B3"/>
    <w:rsid w:val="4D023A66"/>
    <w:rsid w:val="4D564281"/>
    <w:rsid w:val="4D6527F6"/>
    <w:rsid w:val="4F173F39"/>
    <w:rsid w:val="515A2AEF"/>
    <w:rsid w:val="52FB0B70"/>
    <w:rsid w:val="531436A7"/>
    <w:rsid w:val="53C05501"/>
    <w:rsid w:val="544F078B"/>
    <w:rsid w:val="54F34CD3"/>
    <w:rsid w:val="585921D3"/>
    <w:rsid w:val="5BAB6AB7"/>
    <w:rsid w:val="5C380147"/>
    <w:rsid w:val="5C8F2483"/>
    <w:rsid w:val="62D33D18"/>
    <w:rsid w:val="646A14CF"/>
    <w:rsid w:val="649259FC"/>
    <w:rsid w:val="65792AB1"/>
    <w:rsid w:val="673839FD"/>
    <w:rsid w:val="67CD09CD"/>
    <w:rsid w:val="697467F0"/>
    <w:rsid w:val="69C767C4"/>
    <w:rsid w:val="69D62217"/>
    <w:rsid w:val="71984CE7"/>
    <w:rsid w:val="73674320"/>
    <w:rsid w:val="7878553F"/>
    <w:rsid w:val="78812BE9"/>
    <w:rsid w:val="789E7A8C"/>
    <w:rsid w:val="7AF93EE4"/>
    <w:rsid w:val="7CF462F9"/>
    <w:rsid w:val="7EBE3515"/>
    <w:rsid w:val="7ED703BC"/>
    <w:rsid w:val="7F1663B1"/>
    <w:rsid w:val="7FDA6ECE"/>
    <w:rsid w:val="7FF5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0"/>
    <w:pPr>
      <w:spacing w:after="120"/>
    </w:pPr>
    <w:rPr>
      <w:rFonts w:ascii="Times New Roman" w:hAnsi="Times New Roman"/>
      <w:kern w:val="2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1"/>
    <w:qFormat/>
    <w:uiPriority w:val="0"/>
    <w:pPr>
      <w:ind w:left="200" w:hanging="200" w:hangingChars="200"/>
      <w:contextualSpacing/>
    </w:p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1">
    <w:name w:val="正文文本 Char"/>
    <w:link w:val="3"/>
    <w:qFormat/>
    <w:uiPriority w:val="0"/>
    <w:rPr>
      <w:rFonts w:ascii="Times New Roman" w:hAnsi="Times New Roman"/>
      <w:kern w:val="2"/>
      <w:sz w:val="21"/>
      <w:szCs w:val="22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01"/>
    <w:basedOn w:val="9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E:\&#20892;&#19994;&#32479;&#35745;&#25968;&#25454;\2024&#24180;&#20892;&#19994;&#25968;&#25454;\&#20998;&#26512;\&#31532;&#20108;&#23395;&#24230;&#20998;&#26512;\&#26032;&#24314;%20Microsoft%20Excel%202007%20&#24037;&#20316;&#3492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1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2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C:\Users\Administrator\AppData\Local\Temp\wps.XrVXxf\Chart5%20in%20Wp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                </a:t>
            </a:r>
            <a:r>
              <a:t>农林牧渔业产值占总产值的比重</a:t>
            </a:r>
          </a:p>
        </c:rich>
      </c:tx>
      <c:layout>
        <c:manualLayout>
          <c:xMode val="edge"/>
          <c:yMode val="edge"/>
          <c:x val="0.1375"/>
          <c:y val="0.032407407407407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1"/>
          <c:order val="1"/>
          <c:tx>
            <c:strRef>
              <c:f>'[新建 Microsoft Excel 2007 工作表.xlsx]Sheet1'!$D$1</c:f>
              <c:strCache>
                <c:ptCount val="1"/>
                <c:pt idx="0">
                  <c:v>各行业产值在总产值的比重（%）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'[新建 Microsoft Excel 2007 工作表.xlsx]Sheet1'!$B$3:$B$7</c:f>
              <c:strCache>
                <c:ptCount val="5"/>
                <c:pt idx="0">
                  <c:v>农业产值</c:v>
                </c:pt>
                <c:pt idx="1">
                  <c:v>林业产值</c:v>
                </c:pt>
                <c:pt idx="2">
                  <c:v>畜牧业产值</c:v>
                </c:pt>
                <c:pt idx="3">
                  <c:v>渔业产值</c:v>
                </c:pt>
                <c:pt idx="4">
                  <c:v>服务业产值</c:v>
                </c:pt>
              </c:strCache>
            </c:strRef>
          </c:cat>
          <c:val>
            <c:numRef>
              <c:f>'[新建 Microsoft Excel 2007 工作表.xlsx]Sheet1'!$D$3:$D$7</c:f>
              <c:numCache>
                <c:formatCode>0.00%</c:formatCode>
                <c:ptCount val="5"/>
                <c:pt idx="0">
                  <c:v>0.622592662307527</c:v>
                </c:pt>
                <c:pt idx="1">
                  <c:v>0.00920434984580894</c:v>
                </c:pt>
                <c:pt idx="2">
                  <c:v>0.218437313359417</c:v>
                </c:pt>
                <c:pt idx="3">
                  <c:v>0.000939688291667893</c:v>
                </c:pt>
                <c:pt idx="4">
                  <c:v>0.148825986195579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'[新建 Microsoft Excel 2007 工作表.xlsx]Sheet1'!$C$1</c15:sqref>
                        </c15:formulaRef>
                      </c:ext>
                    </c:extLst>
                    <c:strCache>
                      <c:ptCount val="1"/>
                      <c:pt idx="0">
                        <c:v>产值预计（万元）</c:v>
                      </c:pt>
                    </c:strCache>
                  </c:strRef>
                </c:tx>
                <c:spPr/>
                <c:explosion val="0"/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0" vertOverflow="ellipsis" vert="horz" wrap="square" lIns="38100" tIns="19050" rIns="38100" bIns="19050" anchor="ctr" anchorCtr="1"/>
                    <a:lstStyle/>
                    <a:p>
                      <a:pPr>
                        <a:defRPr lang="zh-CN"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</a:p>
                  </c:txPr>
                  <c:dLblPos val="bestFi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extLst>
                    <c:ext xmlns:c15="http://schemas.microsoft.com/office/drawing/2012/chart" uri="{CE6537A1-D6FC-4f65-9D91-7224C49458BB}">
                      <c15:layout/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'[新建 Microsoft Excel 2007 工作表.xlsx]Sheet1'!$B$3:$B$7</c15:sqref>
                        </c15:formulaRef>
                      </c:ext>
                    </c:extLst>
                    <c:strCache>
                      <c:ptCount val="5"/>
                      <c:pt idx="0">
                        <c:v>农业产值</c:v>
                      </c:pt>
                      <c:pt idx="1">
                        <c:v>林业产值</c:v>
                      </c:pt>
                      <c:pt idx="2">
                        <c:v>畜牧业产值</c:v>
                      </c:pt>
                      <c:pt idx="3">
                        <c:v>渔业产值</c:v>
                      </c:pt>
                      <c:pt idx="4">
                        <c:v>服务业产值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{265294.92979125,3261.07087044,108755.00859,385.6375,63416.712}</c15:sqref>
                        </c15:formulaRef>
                      </c:ext>
                    </c:extLst>
                    <c:numCache>
                      <c:formatCode>0.00_ </c:formatCode>
                      <c:ptCount val="5"/>
                      <c:pt idx="0">
                        <c:v>265294.92979125</c:v>
                      </c:pt>
                      <c:pt idx="1">
                        <c:v>3261.07087044</c:v>
                      </c:pt>
                      <c:pt idx="2">
                        <c:v>108755.00859</c:v>
                      </c:pt>
                      <c:pt idx="3">
                        <c:v>385.6375</c:v>
                      </c:pt>
                      <c:pt idx="4">
                        <c:v>63416.712</c:v>
                      </c:pt>
                    </c:numCache>
                  </c:numRef>
                </c:val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规上工业三大门类增加值增速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增速%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Sheet1!$A$2:$A$5</c15:sqref>
                  </c15:fullRef>
                </c:ext>
              </c:extLst>
              <c:f>Sheet1!$A$2:$A$4</c:f>
              <c:strCache>
                <c:ptCount val="3"/>
                <c:pt idx="0">
                  <c:v>采矿业</c:v>
                </c:pt>
                <c:pt idx="1">
                  <c:v>制造业</c:v>
                </c:pt>
                <c:pt idx="2">
                  <c:v>电力、热力、燃气及水生产供应业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Sheet1!$B$2:$B$5</c15:sqref>
                  </c15:fullRef>
                </c:ext>
              </c:extLst>
              <c:f>Sheet1!$B$2:$B$4</c:f>
              <c:numCache>
                <c:formatCode>General</c:formatCode>
                <c:ptCount val="3"/>
                <c:pt idx="0">
                  <c:v>-100</c:v>
                </c:pt>
                <c:pt idx="1">
                  <c:v>26</c:v>
                </c:pt>
                <c:pt idx="2">
                  <c:v>17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76961870"/>
        <c:axId val="646822250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/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0" vertOverflow="ellipsis" vert="horz" wrap="square" lIns="38100" tIns="19050" rIns="38100" bIns="19050" anchor="ctr" anchorCtr="1"/>
                    <a:lstStyle/>
                    <a:p>
                      <a:pPr>
                        <a:defRPr lang="zh-CN"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xmlns:c15="http://schemas.microsoft.com/office/drawing/2012/chart" uri="{CE6537A1-D6FC-4f65-9D91-7224C49458BB}">
                      <c15:layout/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>Sheet1!$A$2:$A$5</c15:sqref>
                        </c15:fullRef>
                        <c15:formulaRef>
                          <c15:sqref>Sheet1!$A$2:$A$4</c15:sqref>
                        </c15:formulaRef>
                      </c:ext>
                    </c:extLst>
                    <c:strCache>
                      <c:ptCount val="3"/>
                      <c:pt idx="0">
                        <c:v>采矿业</c:v>
                      </c:pt>
                      <c:pt idx="1">
                        <c:v>制造业</c:v>
                      </c:pt>
                      <c:pt idx="2">
                        <c:v>电力、热力、燃气及水生产供应业</c:v>
                      </c:pt>
                    </c:strCache>
                  </c:strRef>
                </c:cat>
              </c15:ser>
            </c15:filteredBarSeries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/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0" vertOverflow="ellipsis" vert="horz" wrap="square" lIns="38100" tIns="19050" rIns="38100" bIns="19050" anchor="ctr" anchorCtr="1"/>
                    <a:lstStyle/>
                    <a:p>
                      <a:pPr>
                        <a:defRPr lang="zh-CN"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xmlns:c15="http://schemas.microsoft.com/office/drawing/2012/chart" uri="{CE6537A1-D6FC-4f65-9D91-7224C49458BB}">
                      <c15:layout/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>Sheet1!$A$2:$A$5</c15:sqref>
                        </c15:fullRef>
                        <c15:formulaRef>
                          <c15:sqref>Sheet1!$A$2:$A$4</c15:sqref>
                        </c15:formulaRef>
                      </c:ext>
                    </c:extLst>
                    <c:strCache>
                      <c:ptCount val="3"/>
                      <c:pt idx="0">
                        <c:v>采矿业</c:v>
                      </c:pt>
                      <c:pt idx="1">
                        <c:v>制造业</c:v>
                      </c:pt>
                      <c:pt idx="2">
                        <c:v>电力、热力、燃气及水生产供应业</c:v>
                      </c:pt>
                    </c:strCache>
                  </c:strRef>
                </c:cat>
              </c15:ser>
            </c15:filteredBarSeries>
          </c:ext>
        </c:extLst>
      </c:barChart>
      <c:catAx>
        <c:axId val="37696187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46822250"/>
        <c:crosses val="autoZero"/>
        <c:auto val="1"/>
        <c:lblAlgn val="ctr"/>
        <c:lblOffset val="100"/>
        <c:noMultiLvlLbl val="0"/>
      </c:catAx>
      <c:valAx>
        <c:axId val="64682225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7696187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固定资产完成投资额增速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2024年1-2月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-80.3</c:v>
                </c:pt>
                <c:pt idx="1">
                  <c:v>-56.7</c:v>
                </c:pt>
                <c:pt idx="2">
                  <c:v>-44.2</c:v>
                </c:pt>
                <c:pt idx="3">
                  <c:v>-1.1</c:v>
                </c:pt>
                <c:pt idx="4">
                  <c:v>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93775059"/>
        <c:axId val="456438508"/>
      </c:lineChart>
      <c:catAx>
        <c:axId val="29377505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6438508"/>
        <c:crosses val="autoZero"/>
        <c:auto val="1"/>
        <c:lblAlgn val="ctr"/>
        <c:lblOffset val="100"/>
        <c:noMultiLvlLbl val="0"/>
      </c:catAx>
      <c:valAx>
        <c:axId val="4564385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93775059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限额以上批零住餐增速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'[Chart5 in Wps.xlsx]Sheet1'!$B$1</c:f>
              <c:strCache>
                <c:ptCount val="1"/>
                <c:pt idx="0">
                  <c:v>绝对额（万元）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'[Chart5 in Wps.xlsx]Sheet1'!$A$2:$A$5</c:f>
              <c:strCache>
                <c:ptCount val="4"/>
                <c:pt idx="0">
                  <c:v>批发业销售额</c:v>
                </c:pt>
                <c:pt idx="1">
                  <c:v>零售业销售额</c:v>
                </c:pt>
                <c:pt idx="2">
                  <c:v>住宿业营业额</c:v>
                </c:pt>
                <c:pt idx="3">
                  <c:v>餐饮业营业额</c:v>
                </c:pt>
              </c:strCache>
            </c:strRef>
          </c:cat>
          <c:val>
            <c:numRef>
              <c:f>'[Chart5 in Wps.xlsx]Sheet1'!$B$2:$B$5</c:f>
              <c:numCache>
                <c:formatCode>General</c:formatCode>
                <c:ptCount val="4"/>
                <c:pt idx="0">
                  <c:v>126204</c:v>
                </c:pt>
                <c:pt idx="1">
                  <c:v>31528</c:v>
                </c:pt>
                <c:pt idx="2">
                  <c:v>2585</c:v>
                </c:pt>
                <c:pt idx="3">
                  <c:v>4634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3136939"/>
        <c:axId val="345596622"/>
      </c:barChart>
      <c:lineChart>
        <c:grouping val="standard"/>
        <c:varyColors val="0"/>
        <c:ser>
          <c:idx val="1"/>
          <c:order val="1"/>
          <c:tx>
            <c:strRef>
              <c:f>'[Chart5 in Wps.xlsx]Sheet1'!$C$1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'[Chart5 in Wps.xlsx]Sheet1'!$A$2:$A$5</c:f>
              <c:strCache>
                <c:ptCount val="4"/>
                <c:pt idx="0">
                  <c:v>批发业销售额</c:v>
                </c:pt>
                <c:pt idx="1">
                  <c:v>零售业销售额</c:v>
                </c:pt>
                <c:pt idx="2">
                  <c:v>住宿业营业额</c:v>
                </c:pt>
                <c:pt idx="3">
                  <c:v>餐饮业营业额</c:v>
                </c:pt>
              </c:strCache>
            </c:strRef>
          </c:cat>
          <c:val>
            <c:numRef>
              <c:f>'[Chart5 in Wps.xlsx]Sheet1'!$C$2:$C$5</c:f>
              <c:numCache>
                <c:formatCode>General</c:formatCode>
                <c:ptCount val="4"/>
                <c:pt idx="0">
                  <c:v>-26.5</c:v>
                </c:pt>
                <c:pt idx="1">
                  <c:v>-1.5</c:v>
                </c:pt>
                <c:pt idx="2">
                  <c:v>-15.8</c:v>
                </c:pt>
                <c:pt idx="3">
                  <c:v>13.7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406083407"/>
        <c:axId val="180111733"/>
      </c:lineChart>
      <c:catAx>
        <c:axId val="2313693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45596622"/>
        <c:crosses val="autoZero"/>
        <c:auto val="1"/>
        <c:lblAlgn val="ctr"/>
        <c:lblOffset val="100"/>
        <c:noMultiLvlLbl val="0"/>
      </c:catAx>
      <c:valAx>
        <c:axId val="34559662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3136939"/>
        <c:crosses val="autoZero"/>
        <c:crossBetween val="between"/>
      </c:valAx>
      <c:catAx>
        <c:axId val="406083407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80111733"/>
        <c:crosses val="autoZero"/>
        <c:auto val="1"/>
        <c:lblAlgn val="ctr"/>
        <c:lblOffset val="100"/>
        <c:noMultiLvlLbl val="0"/>
      </c:catAx>
      <c:valAx>
        <c:axId val="180111733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06083407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4302</Words>
  <Characters>5092</Characters>
  <Lines>0</Lines>
  <Paragraphs>0</Paragraphs>
  <TotalTime>109</TotalTime>
  <ScaleCrop>false</ScaleCrop>
  <LinksUpToDate>false</LinksUpToDate>
  <CharactersWithSpaces>5097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2023-07-10T03:09:00Z</dcterms:created>
  <dc:creator>Administrator</dc:creator>
  <cp:lastModifiedBy>Sunshine</cp:lastModifiedBy>
  <cp:lastPrinted>2024-08-01T03:47:00Z</cp:lastPrinted>
  <dcterms:modified xsi:type="dcterms:W3CDTF">2024-08-12T10:35:54Z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E9C28E5CBE27427F95160BD5C7020E0C_13</vt:lpwstr>
  </property>
</Properties>
</file>