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800" w:firstLineChars="20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:lang w:eastAsia="zh-CN"/>
          <w14:textFill>
            <w14:solidFill>
              <w14:schemeClr w14:val="tx1"/>
            </w14:solidFill>
          </w14:textFill>
        </w:rPr>
        <w:t>莎车县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2025年1-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14:textFill>
            <w14:solidFill>
              <w14:schemeClr w14:val="tx1"/>
            </w14:solidFill>
          </w14:textFill>
        </w:rPr>
        <w:t>2月经济运行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0"/>
          <w:lang w:val="en-US" w:eastAsia="zh-CN"/>
          <w14:textFill>
            <w14:solidFill>
              <w14:schemeClr w14:val="tx1"/>
            </w14:solidFill>
          </w14:textFill>
        </w:rPr>
        <w:t>情况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jc w:val="center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2025年2月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莎车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县在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县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委、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县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政府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坚强领导下，紧紧围绕高质量发展首要任务，积极应对各种挑战，全县经济运行总体保持平稳态势，实现工业、投资、财政收入等经济指标平稳增长，部分领域呈现出积极变化，为实现全年经济发展目标奠定了良好基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3" w:firstLineChars="200"/>
        <w:textAlignment w:val="auto"/>
        <w:rPr>
          <w:rFonts w:hint="eastAsia" w:ascii="方正黑体简体" w:hAnsi="方正黑体简体" w:eastAsia="方正黑体简体" w:cs="方正黑体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黑体简体" w:hAnsi="方正黑体简体" w:eastAsia="方正黑体简体" w:cs="方正黑体简体"/>
          <w:b/>
          <w:bCs w:val="0"/>
          <w:color w:val="000000" w:themeColor="text1"/>
          <w:kern w:val="0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一、主要经济指标预计情况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——全县规模以上工业企业完成增加值13079万元，同比增长18.5%。(＊)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——固定资产投资额完成7576万元，同比增长1.8%。(＊)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——限额以上企业社会消费品零售总额7617万元，同比下降18.6%。(＊)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——一般公共财政预算收入8944万元，同比增长17.24%。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——一般公共财政预算支出169724万元，同比增长9.59%。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——外贸进出口总额42.4万美元，同比下降73.59%。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——全县旅游人数105.58万人次，同比增长24.3%；旅游收入2.84亿元，同比增长85.58%。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——航空旅客吞吐量69321人次，同比增长35.44%；航空货邮吞吐量110.01吨，同比减少36.42%。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——城镇新增就业人数4132人，完成全年目标任务的31.8%；农村富余劳动力转移就业人数48618人次，完成全年目标任务的25.5%。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firstLine="640" w:firstLineChars="200"/>
        <w:textAlignment w:val="auto"/>
        <w:rPr>
          <w:rFonts w:hint="default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——全社会用电量42350万千瓦小时，同比增长5.38%；其中：工商业用电量16472万千瓦小时，同比下降6.88%。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620" w:lineRule="exact"/>
        <w:ind w:left="0" w:right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备注：带＊号指标为统计部门统计数据，其他指标均为行业部门数据。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620" w:lineRule="exact"/>
        <w:ind w:left="0" w:leftChars="0" w:right="0" w:firstLine="643" w:firstLineChars="200"/>
        <w:jc w:val="both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黑体简体" w:hAnsi="方正黑体简体" w:eastAsia="方正黑体简体" w:cs="方正黑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二、经济运行主要特点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规上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工业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快速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增长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1-2月完成工业增加值13079万元，同比增长18.5%（可比价），按照三大门类一增二降，其中电力、热力、燃气及水生产和供应业10029万，占全部规上工业的76.7%，增加值同比增长24.6%，拉动规上工业增加值增长17.8个百分点；制造业3050万，占全部规上工业的23.3%，增加值同比下降0.2%，下拉规上工业增加值增速0.05个百分点；采矿业增加值同比下降100%，下拉规上工业增加值增速0.12个百分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支柱行业产值突飞猛进。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电力生产业、纺织业和水的生产和供应业表现突出，合计拉动规上工业增加值增长21.4个百分点。新疆睿灏纺织有限公司，当月产值过亿元，1-2月累计产值占工业规上企业总产值的42.8%，实现增加值2181</w:t>
      </w: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万元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，占全部规上工业的16.7%，增加值同比增长13%，拉动规上工业增加值增长2.3个百分点，是带动规上工业产值增长的主力。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3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增加值率较高的企业带动明显。</w:t>
      </w: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电力生产业1-2月累计实现增加值8519万元，占全部规上工业的65.1%，增加值同比增长30.4%，拉动规上工业增加值增长17.9个百分点；水的生产和供应业1-2月累计实现增加值579万元，占全部规上工业的4.4%，增加值同比增长41%，拉动规上工业增加值增长1.5个百分点；新疆新华叶尔羌河流域水利水电开发有限公司，1-2月累计产值占工业规上企业总产值的11.6%；累计实现增加值3645万元，占全部规上工业的27.9%，拉动规上工业增加值增长7.4个百分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（二）固定资产投资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稳步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增长</w:t>
      </w:r>
    </w:p>
    <w:p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1-2月，全县完成固定资产投资额7576万元，同比增长1.8%，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完成全年总目标的0.8%。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固定资产投资项目78个，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同比下降7.1%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，与去年同期比，今年入统项目仅有2个。</w:t>
      </w:r>
    </w:p>
    <w:p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分投资构成看，设备工器具购置投资增速明显。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设备购置完成7444万元，同比增长266.5%，占投资总额的98.2%；其他费用完成132万元，同比下降65.9%。设备采购成为拉动固定资产投资的主要力量。</w:t>
      </w:r>
    </w:p>
    <w:p>
      <w:pPr>
        <w:pStyle w:val="2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default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房地产开发投资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零增长。</w:t>
      </w:r>
      <w:r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1-2月，房地产开发项目完成投资0万元，同比下降100%。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20" w:lineRule="exact"/>
        <w:ind w:right="0" w:firstLine="643" w:firstLineChars="200"/>
        <w:jc w:val="both"/>
        <w:rPr>
          <w:rFonts w:hint="eastAsia" w:ascii="方正仿宋简体" w:hAnsi="方正仿宋简体" w:eastAsia="方正仿宋简体" w:cs="方正仿宋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）消费市场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低位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运行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620" w:lineRule="exact"/>
        <w:ind w:left="0" w:leftChars="0" w:firstLine="640" w:firstLineChars="200"/>
        <w:jc w:val="both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1-2月，全县限额以上社会消费品零售总额累计实现7617万元，同比下降18.6%，增速较上年同期下降24个百分点。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both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生活必须品类消费承压运行。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限额以上零售业12类重要商品中6类呈负增长，这6类分别是粮油食品类、饮料类、烟酒类、服装鞋帽针纺织品类、针纺织品类、日用品类，其分别下降49.2%、22%、31.7%、33.9%、35、36.4%。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生活非必须品金银珠宝类持续下降，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其累计零售额下降64.4%。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消费升级类商品零售较快增长，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文化办公用品类增长147.1%。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家用电器和音像器材类、汽车类零售额均呈两位数增长，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在以旧换新政策的刺激下其分别增长88%和10%。</w:t>
      </w: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中西药品类季节性消费明显，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1-2月累计零售额增长93.2%。</w:t>
      </w:r>
    </w:p>
    <w:p>
      <w:pPr>
        <w:pStyle w:val="3"/>
        <w:jc w:val="center"/>
        <w:rPr>
          <w:rFonts w:hint="default"/>
          <w:lang w:val="en-US" w:eastAsia="zh-CN"/>
        </w:rPr>
      </w:pP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各类重点商品零售情况一览表</w:t>
      </w:r>
    </w:p>
    <w:tbl>
      <w:tblPr>
        <w:tblStyle w:val="9"/>
        <w:tblW w:w="8344" w:type="dxa"/>
        <w:tblInd w:w="1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9"/>
        <w:gridCol w:w="1395"/>
        <w:gridCol w:w="1425"/>
        <w:gridCol w:w="1335"/>
        <w:gridCol w:w="1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指  标</w:t>
            </w:r>
          </w:p>
        </w:tc>
        <w:tc>
          <w:tcPr>
            <w:tcW w:w="282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sz w:val="21"/>
                <w:szCs w:val="21"/>
                <w:vertAlign w:val="baseline"/>
                <w:lang w:val="en-US" w:eastAsia="zh-CN"/>
              </w:rPr>
              <w:t>2</w:t>
            </w: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月</w:t>
            </w:r>
          </w:p>
        </w:tc>
        <w:tc>
          <w:tcPr>
            <w:tcW w:w="271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/>
                <w:bCs/>
                <w:sz w:val="21"/>
                <w:szCs w:val="21"/>
                <w:vertAlign w:val="baseline"/>
                <w:lang w:val="en-US" w:eastAsia="zh-CN"/>
              </w:rPr>
              <w:t>1-2</w:t>
            </w: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月（逐月累加）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280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 xml:space="preserve"> 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绝对量   （万元）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同比增长 （%）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绝对量     （万元）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auto"/>
              <w:rPr>
                <w:rFonts w:hint="eastAsia" w:ascii="Times New Roman" w:hAnsi="Times New Roman" w:eastAsia="方正仿宋简体" w:cs="方正仿宋简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Times New Roman" w:hAnsi="Times New Roman" w:eastAsia="方正仿宋简体" w:cs="方正仿宋简体"/>
                <w:b/>
                <w:bCs/>
                <w:sz w:val="21"/>
                <w:szCs w:val="21"/>
                <w:vertAlign w:val="baseline"/>
                <w:lang w:val="en-US" w:eastAsia="zh-CN"/>
              </w:rPr>
              <w:t>同比增长      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限额以上社会消费品零售额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3182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-17.7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7617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-18.6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8344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left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方正仿宋简体" w:cs="Times New Roman"/>
                <w:b w:val="0"/>
                <w:bCs w:val="0"/>
                <w:color w:val="auto"/>
                <w:sz w:val="21"/>
                <w:szCs w:val="21"/>
                <w:vertAlign w:val="baseline"/>
                <w:lang w:val="en-US" w:eastAsia="zh-CN"/>
              </w:rPr>
              <w:t>按消费类型分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210" w:firstLineChars="1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餐饮收入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760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-13.9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156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-12.9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210" w:firstLineChars="1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商品零售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242</w:t>
            </w:r>
            <w:r>
              <w:rPr>
                <w:rFonts w:hint="eastAsia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-18.8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6051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Calibri" w:hAnsi="Calibri" w:eastAsia="宋体" w:cs="Calibri"/>
                <w:i w:val="0"/>
                <w:iCs w:val="0"/>
                <w:color w:val="FF0000"/>
                <w:kern w:val="0"/>
                <w:sz w:val="22"/>
                <w:szCs w:val="22"/>
                <w:u w:val="none"/>
                <w:lang w:val="en-US" w:eastAsia="zh-CN" w:bidi="ar"/>
              </w:rPr>
              <w:t>-20.5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粮油、食品类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346.2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-65.8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1752.4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-49.2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饮料类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75.5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color w:val="FF0000"/>
                <w:lang w:val="en-US" w:eastAsia="zh-CN"/>
              </w:rPr>
            </w:pPr>
            <w:r>
              <w:rPr>
                <w:rFonts w:hint="eastAsia"/>
                <w:color w:val="FF0000"/>
                <w:lang w:val="en-US" w:eastAsia="zh-CN"/>
              </w:rPr>
              <w:t>-30.9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112.3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color w:val="FF0000"/>
                <w:lang w:val="en-US" w:eastAsia="zh-CN"/>
              </w:rPr>
            </w:pPr>
            <w:r>
              <w:rPr>
                <w:rFonts w:hint="eastAsia"/>
                <w:color w:val="FF0000"/>
                <w:lang w:val="en-US" w:eastAsia="zh-CN"/>
              </w:rPr>
              <w:t>-22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烟酒类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53.3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-51.9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80.7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-31.7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服装鞋帽针纺织品类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39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-45.3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151.1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-33.9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针纺织品类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37.6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-47.3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148.5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color w:val="FF0000"/>
                <w:lang w:val="en-US" w:eastAsia="zh-CN"/>
              </w:rPr>
            </w:pPr>
            <w:r>
              <w:rPr>
                <w:rFonts w:hint="eastAsia"/>
                <w:color w:val="FF0000"/>
                <w:lang w:val="en-US" w:eastAsia="zh-CN"/>
              </w:rPr>
              <w:t>-35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金银珠宝类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45.1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-63.5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93.5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-64.4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日用品类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96.8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-51.2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196.4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/>
                <w:color w:val="FF0000"/>
                <w:lang w:val="en-US" w:eastAsia="zh-CN"/>
              </w:rPr>
            </w:pPr>
            <w:r>
              <w:rPr>
                <w:rFonts w:hint="eastAsia" w:ascii="Times New Roman" w:hAnsi="Times New Roman"/>
                <w:color w:val="FF0000"/>
                <w:lang w:val="en-US" w:eastAsia="zh-CN"/>
              </w:rPr>
              <w:t>-36.4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家用电器和音像器材类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103.1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89.2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398.8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</w:trPr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中西药品类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47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195.6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96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93.2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文化办公用品类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142.1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402.2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147.1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both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汽车类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1241.3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55.9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2235.4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0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left"/>
              <w:textAlignment w:val="auto"/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方正仿宋简体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其他未列明商品类</w:t>
            </w:r>
          </w:p>
        </w:tc>
        <w:tc>
          <w:tcPr>
            <w:tcW w:w="13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171.7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-48.1</w:t>
            </w:r>
          </w:p>
        </w:tc>
        <w:tc>
          <w:tcPr>
            <w:tcW w:w="133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  <w:t>385.1</w:t>
            </w:r>
          </w:p>
        </w:tc>
        <w:tc>
          <w:tcPr>
            <w:tcW w:w="13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default" w:ascii="Times New Roman" w:hAnsi="Times New Roman" w:eastAsia="方正仿宋简体" w:cs="Times New Roman"/>
                <w:b w:val="0"/>
                <w:bCs w:val="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方正仿宋简体" w:cs="Times New Roman"/>
                <w:b w:val="0"/>
                <w:bCs w:val="0"/>
                <w:color w:val="FF0000"/>
                <w:sz w:val="21"/>
                <w:szCs w:val="21"/>
                <w:vertAlign w:val="baseline"/>
                <w:lang w:val="en-US" w:eastAsia="zh-CN"/>
              </w:rPr>
              <w:t>-34.5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default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住宿业受春节影响其营业额呈负增长。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限额以上住宿业单位20家，其营业额累计实现498万元，比去年608万元减少110万元，同比下降18.1%。其餐费收入累计实现40.1万元，同比下降62.7%；实现累计商品销售额4.6万元，同比增长39.4%。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b/>
          <w:bCs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餐饮业受居民消费意愿影响比较明显。</w:t>
      </w:r>
      <w:r>
        <w:rPr>
          <w:rFonts w:hint="eastAsia" w:ascii="方正仿宋简体" w:hAnsi="方正仿宋简体" w:eastAsia="方正仿宋简体" w:cs="方正仿宋简体"/>
          <w:b w:val="0"/>
          <w:bCs w:val="0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限额以上餐饮业单位22家,实现累计餐费收入1526万元，较去年同期1690万元减少164万元，同比下降9.7%；实现累计商品销售额143万元，同比增长190.2%。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left="0" w:leftChars="0" w:firstLine="643" w:firstLineChars="200"/>
        <w:jc w:val="both"/>
        <w:textAlignment w:val="auto"/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(四)财政收入</w:t>
      </w:r>
      <w:r>
        <w:rPr>
          <w:rFonts w:hint="eastAsia" w:ascii="方正楷体简体" w:hAnsi="方正楷体简体" w:eastAsia="方正楷体简体" w:cs="方正楷体简体"/>
          <w:b/>
          <w:bCs/>
          <w:color w:val="auto"/>
          <w:sz w:val="32"/>
          <w:szCs w:val="32"/>
          <w:lang w:val="en-US" w:eastAsia="zh-CN"/>
        </w:rPr>
        <w:t>支出双增长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20" w:lineRule="exact"/>
        <w:ind w:left="0" w:leftChars="0" w:right="0" w:firstLine="640" w:firstLineChars="200"/>
        <w:jc w:val="both"/>
        <w:textAlignment w:val="baseline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vertAlign w:val="baseline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1-2月，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vertAlign w:val="baseline"/>
          <w:lang w:val="en-US" w:eastAsia="zh-CN" w:bidi="ar"/>
          <w14:textFill>
            <w14:solidFill>
              <w14:schemeClr w14:val="tx1"/>
            </w14:solidFill>
          </w14:textFill>
        </w:rPr>
        <w:t>完成一般公共预算收入8944万元，增长17.24%，其中税收收入5470万元，增长1.61%。</w:t>
      </w:r>
      <w:r>
        <w:rPr>
          <w:rFonts w:hint="default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非税收入完成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3474万</w:t>
      </w:r>
      <w:r>
        <w:rPr>
          <w:rFonts w:hint="default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元，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增长54.69</w:t>
      </w:r>
      <w:r>
        <w:rPr>
          <w:rFonts w:hint="default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%。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vertAlign w:val="baseline"/>
          <w:lang w:val="en-US" w:eastAsia="zh-CN" w:bidi="ar"/>
          <w14:textFill>
            <w14:solidFill>
              <w14:schemeClr w14:val="tx1"/>
            </w14:solidFill>
          </w14:textFill>
        </w:rPr>
        <w:t>一般公共财政预算支出169724万元，增长9.59%，重点支出中，教育支出增长19.75%，社会保障和就业支出增长15.28%，农林水事务支出增长180.74%。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leftChars="200" w:firstLine="321" w:firstLineChars="100"/>
        <w:textAlignment w:val="auto"/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(五)旅游市场强劲，交通运输活跃。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20" w:lineRule="exact"/>
        <w:ind w:firstLine="640" w:firstLineChars="200"/>
        <w:textAlignment w:val="auto"/>
        <w:rPr>
          <w:rFonts w:hint="eastAsia"/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1-2月，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全县旅游人数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105.58万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人次，同比增长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24.3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%；旅游收入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2.84亿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元，同比增长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85.58</w:t>
      </w: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</w:rPr>
        <w:t>%；</w:t>
      </w:r>
      <w:r>
        <w:rPr>
          <w:rFonts w:hint="eastAsia" w:ascii="方正仿宋简体" w:hAnsi="方正仿宋简体" w:eastAsia="方正仿宋简体" w:cs="方正仿宋简体"/>
          <w:i w:val="0"/>
          <w:caps w:val="0"/>
          <w:color w:val="000000" w:themeColor="text1"/>
          <w:spacing w:val="0"/>
          <w:kern w:val="0"/>
          <w:sz w:val="32"/>
          <w:szCs w:val="32"/>
          <w:highlight w:val="none"/>
          <w:shd w:val="clear" w:color="auto" w:fill="FFFFFF"/>
          <w:lang w:val="en-US" w:eastAsia="zh-CN" w:bidi="ar"/>
          <w14:textFill>
            <w14:solidFill>
              <w14:schemeClr w14:val="tx1"/>
            </w14:solidFill>
          </w14:textFill>
        </w:rPr>
        <w:t>航空旅客吞吐量69321人次，同比增长35.44%；航空货邮吞吐量110.01吨，同比减少36.42%。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Autospacing="0" w:line="620" w:lineRule="exact"/>
        <w:ind w:right="0" w:firstLine="643" w:firstLineChars="200"/>
        <w:jc w:val="both"/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(六)就业形势总体平稳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620" w:lineRule="exact"/>
        <w:ind w:left="0" w:leftChars="0" w:right="0" w:firstLine="640" w:firstLineChars="200"/>
        <w:jc w:val="both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auto"/>
          <w:sz w:val="32"/>
          <w:szCs w:val="32"/>
          <w:lang w:val="en-US" w:eastAsia="zh-CN"/>
        </w:rPr>
        <w:t>1-2月，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城镇新增就业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人数4132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人，完成全年目标任务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的31.8%，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农村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富余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劳动力转移就业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48618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zh-CN" w:eastAsia="zh-CN"/>
          <w14:textFill>
            <w14:solidFill>
              <w14:schemeClr w14:val="tx1"/>
            </w14:solidFill>
          </w14:textFill>
        </w:rPr>
        <w:t>人次，完成全年目标任务</w:t>
      </w:r>
      <w:r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的25.5%。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方正黑体简体" w:hAnsi="方正黑体简体" w:eastAsia="方正黑体简体" w:cs="方正黑体简体"/>
          <w:i w:val="0"/>
          <w:iCs w:val="0"/>
          <w:caps w:val="0"/>
          <w:color w:val="000000" w:themeColor="text1"/>
          <w:spacing w:val="0"/>
          <w:kern w:val="0"/>
          <w:sz w:val="32"/>
          <w:szCs w:val="32"/>
          <w:shd w:val="clear" w:fill="FFFFFF"/>
          <w:lang w:val="en-US" w:eastAsia="zh-CN" w:bidi="ar"/>
          <w14:textFill>
            <w14:solidFill>
              <w14:schemeClr w14:val="tx1"/>
            </w14:solidFill>
          </w14:textFill>
        </w:rPr>
        <w:t>存在的主要困难和问题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620" w:lineRule="exact"/>
        <w:ind w:firstLine="643" w:firstLineChars="200"/>
        <w:textAlignment w:val="auto"/>
        <w:rPr>
          <w:rFonts w:hint="default" w:ascii="方正楷体简体" w:hAnsi="方正楷体简体" w:eastAsia="方正楷体简体" w:cs="方正楷体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部分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产业发展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后劲不足，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新的经济增长点少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建筑行业在3月以后开始复工复产，10家商砼企业期望市场有大型项目开工，建筑行业复工复产必将影响我县经济高质量发展。大力培育工业企业升规，形成新的工业经济增长点，以点带面拉动工业产业的发展。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）固定资产投资压力较大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项目有效投资额较小</w:t>
      </w: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从重点项目情况看，新开工项目数量仍然低于续建项目，具有带动作用的大项目、好项目、新项目少，能够形成产业优势、促进产业转型升级的龙头型、基地型重大项目仍然缺乏。计划新入库项目需要加大施工力度及资金支付率，尽可能形成更多的实物工作量。续建项目需要各行业部门予以关注并督促推进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如，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新疆睿沣纺织有限公司103万锭纺纱项目、碳索芯材(新疆)科技有限公司高端金刚石生产加工基地项目、广东能源莎车县200万千瓦光储一体化项目、国能莎车县80万千瓦光伏治沙项目预计完成设备采购额22500万元，占一季度投资总额的57%。</w:t>
      </w:r>
    </w:p>
    <w:p>
      <w:pPr>
        <w:pStyle w:val="2"/>
        <w:pageBreakBefore w:val="0"/>
        <w:wordWrap/>
        <w:overflowPunct/>
        <w:topLinePunct w:val="0"/>
        <w:autoSpaceDE/>
        <w:autoSpaceDN/>
        <w:bidi w:val="0"/>
        <w:spacing w:line="620" w:lineRule="exact"/>
        <w:ind w:left="0" w:leftChars="0" w:firstLine="640" w:firstLineChars="200"/>
        <w:rPr>
          <w:rFonts w:hint="eastAsia" w:ascii="方正仿宋简体" w:hAnsi="方正仿宋简体" w:eastAsia="方正仿宋简体" w:cs="方正仿宋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（三）消费市场结构不优。</w:t>
      </w:r>
      <w:r>
        <w:rPr>
          <w:rFonts w:hint="eastAsia" w:ascii="方正仿宋简体" w:hAnsi="方正仿宋简体" w:eastAsia="方正仿宋简体" w:cs="方正仿宋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全县商品零售业类别少，同行业竞争激烈，产品同质化严重，限额以上零售企业以汽车、超市、粮油食品等消费为主，商贸流通业自主品牌匮乏，</w:t>
      </w:r>
      <w:r>
        <w:rPr>
          <w:rFonts w:hint="eastAsia" w:ascii="仿宋" w:hAnsi="仿宋" w:eastAsia="仿宋" w:cs="仿宋"/>
          <w:color w:val="000000" w:themeColor="text1"/>
          <w:spacing w:val="6"/>
          <w:kern w:val="0"/>
          <w:sz w:val="32"/>
          <w:szCs w:val="32"/>
          <w:highlight w:val="none"/>
          <w:lang w:val="en-US" w:eastAsia="zh-CN" w:bidi="ar-SA"/>
          <w14:textFill>
            <w14:solidFill>
              <w14:schemeClr w14:val="tx1"/>
            </w14:solidFill>
          </w14:textFill>
        </w:rPr>
        <w:t>个别重点企业的市场因素，直接影响整个行业增速，未能准确反映各个行业的发展态势，</w:t>
      </w:r>
      <w:r>
        <w:rPr>
          <w:rFonts w:hint="eastAsia" w:ascii="方正仿宋简体" w:hAnsi="方正仿宋简体" w:eastAsia="方正仿宋简体" w:cs="方正仿宋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缺乏大规模、高层次的龙头企业，消费结构转型升级亟待加快。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四</w:t>
      </w:r>
      <w:r>
        <w:rPr>
          <w:rFonts w:hint="eastAsia" w:ascii="方正黑体简体" w:hAnsi="方正黑体简体" w:eastAsia="方正黑体简体" w:cs="方正黑体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、对策建议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（一）推动工业企业稳增长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一是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zh-CN" w:eastAsia="zh-CN"/>
          <w14:textFill>
            <w14:solidFill>
              <w14:schemeClr w14:val="tx1"/>
            </w14:solidFill>
          </w14:textFill>
        </w:rPr>
        <w:t>提振企业信心，推动降本增效。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规上企业有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zh-CN" w:eastAsia="zh-CN"/>
          <w14:textFill>
            <w14:solidFill>
              <w14:schemeClr w14:val="tx1"/>
            </w14:solidFill>
          </w14:textFill>
        </w:rPr>
        <w:t>针对性的实施税收优惠、补贴等援企纾困政策，增强企业生产积极性、提振企业发展信心、激发企业生产活力。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二是加强部门联动，强化推进措施，切实做好培育工业企业升规，尽快形成新的工业经济增长点，以点带面拉动工业产业的发展。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textAlignment w:val="auto"/>
        <w:rPr>
          <w:rFonts w:hint="eastAsia" w:ascii="方正仿宋简体" w:hAnsi="方正仿宋简体" w:eastAsia="方正仿宋简体" w:cs="方正仿宋简体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b/>
          <w:bCs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（二）加大投资项目建设力度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是安排专人盯办。按照计划投资情况，排出详细的项目建设进度时间图，并实时督促企业开具发票等设备采购凭证，及时收集补齐入统所需的印证资料，确保项目按计划推进建设，且按时足额完成入库入统。二是抓好项目各项前期工作。坚持全面梳理统筹推进，按照“手续齐全立即办、完善资料尽快办、创造条件设法办”的原则，充分发挥项目前期推进工作专班作用，加快推进项目前期手续办理，推进项目尽早具备挂网条件。抓好入库入统工作。积极衔接沟通统计部门，督促项目建设单位和施工单位，提前收集规整施工合同、发票、现场施工照片和三方确认单等相关支撑性资料，并及时向统计部门提供，做到开工项目应入尽入、应统尽统，投资应报尽报，确保月度计划坚决完成，一季度任务顺利完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楷体简体" w:hAnsi="方正楷体简体" w:eastAsia="方正楷体简体" w:cs="方正楷体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方正楷体简体" w:hAnsi="方正楷体简体" w:eastAsia="方正楷体简体" w:cs="方正楷体简体"/>
          <w:color w:val="000000" w:themeColor="text1"/>
          <w:kern w:val="2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（三）扩大贸易消费市场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0" w:firstLineChars="200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一是增强消费能力，改善消费条件。提高居民收入水平，全方位拓宽就业渠道，为促消费蓄足源头活水，提升居民消费意愿和能力，加快消费回暖和居民消费潜力加速释放。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二是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积极落实扩大消费优惠政策，积极引导旅游、消费品市场有序发展，努力打造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精品旅游路线和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特色产品集散地，带动特色产业快速发展。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textAlignment w:val="auto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三是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坚持“一企一策”精准服务，积极为重点批零住餐企业和中小微企业纾困解难，帮助改善经营环境，给予更多帮扶支持，解决企业发展和消费促进中的“急难愁盼”问题。</w:t>
      </w: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方正仿宋简体" w:hAnsi="方正仿宋简体" w:eastAsia="方正仿宋简体" w:cs="方正仿宋简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2"/>
      </w:pPr>
      <w:r>
        <w:drawing>
          <wp:inline distT="0" distB="0" distL="114300" distR="114300">
            <wp:extent cx="5101590" cy="8350885"/>
            <wp:effectExtent l="0" t="0" r="3810" b="1206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101590" cy="8350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  <w:r>
        <w:drawing>
          <wp:inline distT="0" distB="0" distL="114300" distR="114300">
            <wp:extent cx="5610225" cy="7860030"/>
            <wp:effectExtent l="0" t="0" r="9525" b="7620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786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429250" cy="5572125"/>
            <wp:effectExtent l="0" t="0" r="0" b="952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29250" cy="557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2130" cy="5849620"/>
            <wp:effectExtent l="0" t="0" r="7620" b="17780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849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0225" cy="8477885"/>
            <wp:effectExtent l="0" t="0" r="9525" b="18415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8477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  <w:r>
        <w:drawing>
          <wp:inline distT="0" distB="0" distL="114300" distR="114300">
            <wp:extent cx="5614035" cy="6232525"/>
            <wp:effectExtent l="0" t="0" r="5715" b="15875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14035" cy="623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2765" cy="6178550"/>
            <wp:effectExtent l="0" t="0" r="6985" b="12700"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12765" cy="617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3400" cy="5287645"/>
            <wp:effectExtent l="0" t="0" r="6350" b="8255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5287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0860" cy="7585075"/>
            <wp:effectExtent l="0" t="0" r="8890" b="15875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10860" cy="758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  <w:r>
        <w:drawing>
          <wp:inline distT="0" distB="0" distL="114300" distR="114300">
            <wp:extent cx="5611495" cy="7407275"/>
            <wp:effectExtent l="0" t="0" r="8255" b="3175"/>
            <wp:docPr id="11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611495" cy="740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</w:pPr>
    </w:p>
    <w:p>
      <w:pPr>
        <w:pStyle w:val="2"/>
        <w:rPr>
          <w:rFonts w:hint="eastAsia"/>
        </w:rPr>
      </w:pPr>
      <w:r>
        <w:drawing>
          <wp:inline distT="0" distB="0" distL="114300" distR="114300">
            <wp:extent cx="4185285" cy="8347710"/>
            <wp:effectExtent l="0" t="0" r="5715" b="15240"/>
            <wp:docPr id="12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185285" cy="8347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984" w:right="1531" w:bottom="170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02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F86A59"/>
    <w:rsid w:val="03736735"/>
    <w:rsid w:val="0C8E1EDA"/>
    <w:rsid w:val="0EB0573F"/>
    <w:rsid w:val="0FCD134F"/>
    <w:rsid w:val="12AC1431"/>
    <w:rsid w:val="16497FA5"/>
    <w:rsid w:val="1A5C694A"/>
    <w:rsid w:val="1AC76BD3"/>
    <w:rsid w:val="22F02861"/>
    <w:rsid w:val="248D5F3D"/>
    <w:rsid w:val="31383275"/>
    <w:rsid w:val="332A0732"/>
    <w:rsid w:val="38576D03"/>
    <w:rsid w:val="39873EEB"/>
    <w:rsid w:val="39D3252C"/>
    <w:rsid w:val="3C586CD9"/>
    <w:rsid w:val="3CF03605"/>
    <w:rsid w:val="3F420C85"/>
    <w:rsid w:val="41370A49"/>
    <w:rsid w:val="478311E5"/>
    <w:rsid w:val="4B667F8C"/>
    <w:rsid w:val="4B9352B5"/>
    <w:rsid w:val="4E550442"/>
    <w:rsid w:val="53F43F3C"/>
    <w:rsid w:val="5DAB1E8C"/>
    <w:rsid w:val="64B5217C"/>
    <w:rsid w:val="671F6571"/>
    <w:rsid w:val="69BF4B64"/>
    <w:rsid w:val="6A3D0A89"/>
    <w:rsid w:val="6F9540A0"/>
    <w:rsid w:val="6FCA6CEC"/>
    <w:rsid w:val="7289683F"/>
    <w:rsid w:val="748F4210"/>
    <w:rsid w:val="79A90DFA"/>
    <w:rsid w:val="7B880676"/>
    <w:rsid w:val="7F8E6E0D"/>
    <w:rsid w:val="7FC32715"/>
    <w:rsid w:val="7FF86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iPriority="99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rFonts w:ascii="Calibri" w:hAnsi="Calibri" w:eastAsia="宋体" w:cs="Times New Roman"/>
      <w:b/>
      <w:bCs/>
      <w:sz w:val="32"/>
      <w:szCs w:val="32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List"/>
    <w:basedOn w:val="1"/>
    <w:qFormat/>
    <w:uiPriority w:val="0"/>
    <w:pPr>
      <w:ind w:left="200" w:hanging="200" w:hangingChars="200"/>
      <w:contextualSpacing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able of figures"/>
    <w:basedOn w:val="1"/>
    <w:next w:val="1"/>
    <w:unhideWhenUsed/>
    <w:qFormat/>
    <w:uiPriority w:val="99"/>
    <w:pPr>
      <w:adjustRightInd w:val="0"/>
      <w:snapToGrid w:val="0"/>
      <w:spacing w:line="588" w:lineRule="exact"/>
      <w:ind w:firstLine="800" w:firstLineChars="200"/>
    </w:pPr>
    <w:rPr>
      <w:rFonts w:ascii="Times New Roman" w:hAnsi="Times New Roman" w:eastAsia="方正仿宋_GBK" w:cs="Times New Roman"/>
      <w:sz w:val="30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emf"/><Relationship Id="rId8" Type="http://schemas.openxmlformats.org/officeDocument/2006/relationships/image" Target="media/image4.emf"/><Relationship Id="rId7" Type="http://schemas.openxmlformats.org/officeDocument/2006/relationships/image" Target="media/image3.emf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1.xml"/><Relationship Id="rId15" Type="http://schemas.openxmlformats.org/officeDocument/2006/relationships/image" Target="media/image11.emf"/><Relationship Id="rId14" Type="http://schemas.openxmlformats.org/officeDocument/2006/relationships/image" Target="media/image10.emf"/><Relationship Id="rId13" Type="http://schemas.openxmlformats.org/officeDocument/2006/relationships/image" Target="media/image9.emf"/><Relationship Id="rId12" Type="http://schemas.openxmlformats.org/officeDocument/2006/relationships/image" Target="media/image8.emf"/><Relationship Id="rId11" Type="http://schemas.openxmlformats.org/officeDocument/2006/relationships/image" Target="media/image7.emf"/><Relationship Id="rId10" Type="http://schemas.openxmlformats.org/officeDocument/2006/relationships/image" Target="media/image6.e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2024-03-18T04:37:00Z</dcterms:created>
  <dc:creator>Administrator</dc:creator>
  <cp:lastModifiedBy>Sunshine</cp:lastModifiedBy>
  <cp:lastPrinted>2024-03-23T06:36:00Z</cp:lastPrinted>
  <dcterms:modified xsi:type="dcterms:W3CDTF">2025-05-19T09:11:02Z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