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eastAsia="zh-CN"/>
          <w14:textFill>
            <w14:solidFill>
              <w14:schemeClr w14:val="tx1"/>
            </w14:solidFill>
          </w14:textFill>
        </w:rPr>
        <w:t>莎车县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上半年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运行分析</w:t>
      </w:r>
    </w:p>
    <w:p>
      <w:pPr>
        <w:pStyle w:val="4"/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上半年以来，全县经济持续承压前行，增长态势放缓。面对经济下行压力，莎车县委、县政府积极应对，全力以赴促经济、抓项目、稳发展，工业生产保持平稳增长，社会消费品零售总额由负转正、文旅市场消费活跃，上半年全县经济运行有所放缓，但总体呈现稳定态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20" w:lineRule="exact"/>
        <w:ind w:left="638" w:leftChars="304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一、上半年经济指标完成情况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2025年1-6月，全县实现生产总值1014738万元，同比增长4.1%。其中，第一产业增加值334107万元，同比增长1.9%；第二产业增加值171372万元，同比增长7.1%；第三产业增加值509259万元，同比增长4.3%。三次产业结构比为32.9：16.9：50.2，呈现三一二态势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——全口径工业增加值112801万元，同比增长9.6%。其中，规模以上工业企业增加值56127万元，同比增长10.3%。(＊)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——全社会固定资产投资额355614万元，同比下降15.5%。(＊)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——全社会消费品零售总额137086万元，同比增长5.8%，其中：限额以上社会消费品零售总额37330亿元，同比下降5.2%。(＊)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——一般公共财政预算收入55256万元，同比增长21.1%。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——一般公共财政预算支出608005万元，同比下降5.7%。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——外贸进出口总额3421.4万美元，同比增长41%。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——全县旅游人数696.46万人次，同比增长15.6%；旅游收入18.54亿元，同比增长33.1%。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——铁路客运量 61.9万人次，同比增长 13.2%。航空旅客吞吐量23.24万人次，同比增长26.8%；航空货邮吞吐量379.77吨，同比减少40.7%。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——城镇新增就业 7675人，完成全年目标任务59.04%；农村劳动力外出务工129334人次，完成全年目标任务 67.71%。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——市场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经营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主体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65288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户，同比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增长5.32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。其中：企业6229户，同比增长2.08%；个体工商户54097户，同比增长3.48%。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——全社会用电量 101853万千瓦时，同比增长11.8%。其中：工商业用电量47348万千瓦时，同比增长 12.8%。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备注：带＊号指标为统计部门统计数据，其他指标均为行业部门数据。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20" w:lineRule="exact"/>
        <w:ind w:left="638" w:leftChars="304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二、经济运行主要特点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pacing w:val="6"/>
          <w:sz w:val="32"/>
          <w:szCs w:val="32"/>
          <w:highlight w:val="none"/>
          <w:lang w:eastAsia="zh-CN"/>
        </w:rPr>
        <w:t>农业生产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总体平稳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全县农林牧渔业总产值451645.52万元、同比增长2%，其中：农业业产值284214.85万元，同比增长0.8%，林业产值5650.43万元，同比增长37.4%，畜牧业产值97861.31万元，同比增长3.5%，渔业产值438.80万元，同比增长32.4%，农林牧渔服务业产值63480.13万元，同比增长2.5%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（二）</w:t>
      </w:r>
      <w:r>
        <w:rPr>
          <w:rFonts w:hint="default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工业保持平稳增长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实现工业增加值56127万元，同比增长10.29%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，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其中：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6月当月规上工业增加值13246万，同比增长13.56%，增速较去年同期（14.8%）下降 4.51个百分点，较1-5月增长2.49个百分点。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三大门类二增一平，其中电力、热力、燃气及水生产和供应业14家35004万，占全部规上工业的62.4%，增加值同比下降0.22%，拉动规上工业增加值0.9个百分点，贡献率9.6%；制造业35家21123万，占全部规上工业的37.6%，增加值同比增长31.78%，拉动规上工业增加值增速8.2个百分点，对规模以上工业增加值贡献率90.4%；采矿业暂无规模以上工业企业。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楷体_GBK"/>
          <w:b/>
          <w:bCs/>
          <w:color w:val="auto"/>
          <w:sz w:val="32"/>
          <w:szCs w:val="32"/>
          <w:highlight w:val="none"/>
        </w:rPr>
        <w:t>）投资</w:t>
      </w:r>
      <w:r>
        <w:rPr>
          <w:rFonts w:hint="eastAsia" w:ascii="Times New Roman" w:hAnsi="Times New Roman" w:eastAsia="方正楷体_GBK"/>
          <w:b/>
          <w:bCs/>
          <w:color w:val="auto"/>
          <w:sz w:val="32"/>
          <w:szCs w:val="32"/>
          <w:highlight w:val="none"/>
          <w:lang w:val="en-US" w:eastAsia="zh-CN"/>
        </w:rPr>
        <w:t>增速稳中有升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上半年全社会固定资产投资总额355614万元，同比下降15.5%。其中固定资产投资项目完成350705万元，同比下降11.5%，房地产开发项目完成投资4909万元，同比下降79.9%。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固定投资项目192个，同比增长6.1%。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分产业看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第一产业完成投资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20956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万元，占全部投资的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5.8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%，同比下降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67.2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%；第二产业完成投资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230511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万元，占全部投资的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64.8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%，同比增长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21.6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%；第三产业完成投资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99238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万元，占全部投资的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27.9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%，同比下降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30.6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设备购置投资拉动增长。设备购置完成投资145196万元，占投资总额的40.8%，同比增长82.6%；建安完成投资187195万元。占投资总额的52.6%，同比下降35.5%。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房地产投资持续下降。房地产投资较往年大幅度减少，项目支撑不足，基本处于完工收尾阶段。1-6月房地产完成投资4909万元，占投资总额的1.3%，同比下降79.9%。销售面积和销售额双增长。商品房销售面积40611平方米，同比增长38.2%，本年商品房销售额18283万元，同比增长51.42%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ascii="Times New Roman" w:hAnsi="Times New Roman" w:eastAsia="方正楷体_GBK"/>
          <w:b/>
          <w:bCs/>
          <w:color w:val="FF000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楷体_GBK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楷体_GBK"/>
          <w:b/>
          <w:bCs/>
          <w:color w:val="auto"/>
          <w:sz w:val="32"/>
          <w:szCs w:val="32"/>
          <w:highlight w:val="none"/>
        </w:rPr>
        <w:t>）消费潜力</w:t>
      </w:r>
      <w:r>
        <w:rPr>
          <w:rFonts w:hint="eastAsia" w:ascii="Times New Roman" w:hAnsi="Times New Roman" w:eastAsia="方正楷体_GBK"/>
          <w:b/>
          <w:bCs/>
          <w:color w:val="auto"/>
          <w:sz w:val="32"/>
          <w:szCs w:val="32"/>
          <w:highlight w:val="none"/>
          <w:lang w:val="en-US" w:eastAsia="zh-CN"/>
        </w:rPr>
        <w:t>得到提升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上半年，限额以上社会消费品零售总额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37329.5万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元，同比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下降5.2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6月份是连续5个月下滑幅度收窄最多的月份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。其中，6月当月完成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12782.2万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79.2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%，增速较5月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提高109.7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个百分点。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餐饮收入快速增长。限额以上单位商品零售额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29369.9万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元，同比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下降12.3%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较上月提高16.6个百分点；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餐饮收入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7959.6万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37.9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%。餐费收入增速快于商品零售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50.2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个百分点。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重点商品消费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对社消额的影响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类重要商品中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有5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类呈增长态势，合计总量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15516.9万元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占限额以上社会消费品零售总额的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41.6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%。其中：占比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成的三大类商品零售额“一增两降”。粮油食品、汽车、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其他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三大类商品零售额分别占限额以上社会消费品零售总额的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31.8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8.4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%，合计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下拉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限额以上社会消费品零售总额增长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10.2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个百分点，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三大类发展好坏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是决定限额以上社会消费品零售总额走势的关键。其中：粮油食品商品零售额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下降41.2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%，汽车类商品零售额增长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69.8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其他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类商品零售额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下降17.3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其中：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新能源汽车需求旺盛，零售额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6602.3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亿元，同比增长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124.3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%，拉动限额以上社会消费品零售总额增长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9.4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个百分点，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占汽车类零售额比重提高至68.1%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消费升级类商品零售呈较快增长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态势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。限额以上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家用电器和音像器材类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零售额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同比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77.1%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。占限额以上社会消费品零售总额的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4.1%，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拉动限额以上社会消费品零售总额增长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1.7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个百分点。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新增入库单位拉动有力。新增入库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家限上企业（含大个体）实现零售总额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10533.7万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元，拉动限额以上社会消费品零售总额增长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个百分点，是限额以上社会消费品零售总额增长的重要拉动力量。分行业看，零售业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家、餐饮业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快速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增长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一般公共预算收入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55256万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21.1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%，其中：税收收入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25800万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6.44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%；非税收入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29456万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37.8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%。一般公共预算支出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608005万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元，同比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下降5.66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%，其中：民生支出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49.37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亿元，占一般公共预算支出的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81.2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zh-CN" w:eastAsia="zh-CN" w:bidi="ar-SA"/>
        </w:rPr>
        <w:t>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82E17"/>
    <w:rsid w:val="03913172"/>
    <w:rsid w:val="19082E17"/>
    <w:rsid w:val="350669EE"/>
    <w:rsid w:val="36946517"/>
    <w:rsid w:val="3FEF6E05"/>
    <w:rsid w:val="436B7722"/>
    <w:rsid w:val="5A1A1B61"/>
    <w:rsid w:val="649D16DC"/>
    <w:rsid w:val="6D81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1"/>
    <w:qFormat/>
    <w:uiPriority w:val="0"/>
    <w:pPr>
      <w:ind w:left="200" w:hanging="200" w:hangingChars="200"/>
      <w:contextualSpacing/>
    </w:p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2025-07-09T10:23:00Z</dcterms:created>
  <dc:creator>wo</dc:creator>
  <cp:lastModifiedBy>wo</cp:lastModifiedBy>
  <dcterms:modified xsi:type="dcterms:W3CDTF">2025-08-01T02:39:40Z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