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莎车县202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rPr>
        <w:t>年预算绩效工作</w:t>
      </w:r>
    </w:p>
    <w:p>
      <w:pPr>
        <w:pStyle w:val="9"/>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开展情况说明</w:t>
      </w:r>
    </w:p>
    <w:p>
      <w:pPr>
        <w:spacing w:line="620" w:lineRule="exact"/>
        <w:ind w:firstLine="880" w:firstLineChars="200"/>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20" w:lineRule="atLeast"/>
        <w:ind w:firstLine="664" w:firstLineChars="200"/>
        <w:textAlignment w:val="auto"/>
        <w:rPr>
          <w:rFonts w:hint="eastAsia" w:ascii="方正仿宋简体" w:hAnsi="方正仿宋简体" w:eastAsia="方正仿宋简体" w:cs="方正仿宋简体"/>
          <w:spacing w:val="6"/>
          <w:sz w:val="32"/>
          <w:szCs w:val="32"/>
          <w:highlight w:val="yellow"/>
        </w:rPr>
      </w:pPr>
      <w:r>
        <w:rPr>
          <w:rFonts w:hint="eastAsia" w:ascii="方正仿宋简体" w:hAnsi="方正仿宋简体" w:eastAsia="方正仿宋简体" w:cs="方正仿宋简体"/>
          <w:spacing w:val="6"/>
          <w:sz w:val="32"/>
          <w:szCs w:val="32"/>
        </w:rPr>
        <w:t>202</w:t>
      </w:r>
      <w:r>
        <w:rPr>
          <w:rFonts w:hint="eastAsia" w:ascii="方正仿宋简体" w:hAnsi="方正仿宋简体" w:eastAsia="方正仿宋简体" w:cs="方正仿宋简体"/>
          <w:spacing w:val="6"/>
          <w:sz w:val="32"/>
          <w:szCs w:val="32"/>
          <w:lang w:val="en-US" w:eastAsia="zh-CN"/>
        </w:rPr>
        <w:t>1</w:t>
      </w:r>
      <w:r>
        <w:rPr>
          <w:rFonts w:hint="eastAsia" w:ascii="方正仿宋简体" w:hAnsi="方正仿宋简体" w:eastAsia="方正仿宋简体" w:cs="方正仿宋简体"/>
          <w:spacing w:val="6"/>
          <w:sz w:val="32"/>
          <w:szCs w:val="32"/>
        </w:rPr>
        <w:t>年，为认真贯彻落实党中央、国务院的决策部署和喀什地委、行署全面实施预算绩效管理的工作要求，莎车县委、县人民政府始终坚持以习近平新时代中国特色社会主义思想为指导，</w:t>
      </w:r>
      <w:r>
        <w:rPr>
          <w:rFonts w:hint="eastAsia" w:ascii="方正仿宋简体" w:hAnsi="方正仿宋简体" w:eastAsia="方正仿宋简体" w:cs="方正仿宋简体"/>
          <w:spacing w:val="6"/>
          <w:sz w:val="32"/>
          <w:szCs w:val="32"/>
          <w:lang w:val="en-US" w:eastAsia="zh-CN"/>
        </w:rPr>
        <w:t>深入学习贯彻党的十九大和十九届二中、三中、四中、五中、六中全会精神，贯彻落实习近平总书记在庆祝中国共产党成立100周年大会上的重要讲话精神，贯彻落实第三次中央新疆工作座谈会精神特别是习近平总书记中央讲话精神，中央经济工作会议精神，贯彻落实自治区第十次党代会精神，完整准确贯彻新时代党的治疆方略特别是社会稳定和长治久安总目标。结合党史学习教育工作，</w:t>
      </w:r>
      <w:r>
        <w:rPr>
          <w:rFonts w:hint="eastAsia" w:ascii="方正仿宋简体" w:hAnsi="方正仿宋简体" w:eastAsia="方正仿宋简体" w:cs="方正仿宋简体"/>
          <w:spacing w:val="6"/>
          <w:sz w:val="32"/>
          <w:szCs w:val="32"/>
        </w:rPr>
        <w:t>进一步增强“四个意识”</w:t>
      </w:r>
      <w:r>
        <w:rPr>
          <w:rFonts w:hint="eastAsia" w:ascii="方正仿宋简体" w:hAnsi="方正仿宋简体" w:eastAsia="方正仿宋简体" w:cs="方正仿宋简体"/>
          <w:spacing w:val="6"/>
          <w:sz w:val="32"/>
          <w:szCs w:val="32"/>
          <w:lang w:eastAsia="zh-CN"/>
        </w:rPr>
        <w:t>，</w:t>
      </w:r>
      <w:r>
        <w:rPr>
          <w:rFonts w:hint="eastAsia" w:ascii="方正仿宋简体" w:hAnsi="方正仿宋简体" w:eastAsia="方正仿宋简体" w:cs="方正仿宋简体"/>
          <w:spacing w:val="6"/>
          <w:sz w:val="32"/>
          <w:szCs w:val="32"/>
        </w:rPr>
        <w:t>坚定“四个自信”</w:t>
      </w:r>
      <w:r>
        <w:rPr>
          <w:rFonts w:hint="eastAsia" w:ascii="方正仿宋简体" w:hAnsi="方正仿宋简体" w:eastAsia="方正仿宋简体" w:cs="方正仿宋简体"/>
          <w:spacing w:val="6"/>
          <w:sz w:val="32"/>
          <w:szCs w:val="32"/>
          <w:lang w:eastAsia="zh-CN"/>
        </w:rPr>
        <w:t>，</w:t>
      </w:r>
      <w:r>
        <w:rPr>
          <w:rFonts w:hint="eastAsia" w:ascii="方正仿宋简体" w:hAnsi="方正仿宋简体" w:eastAsia="方正仿宋简体" w:cs="方正仿宋简体"/>
          <w:spacing w:val="6"/>
          <w:sz w:val="32"/>
          <w:szCs w:val="32"/>
        </w:rPr>
        <w:t>做到“两个维护”</w:t>
      </w:r>
      <w:r>
        <w:rPr>
          <w:rFonts w:hint="eastAsia" w:ascii="方正仿宋简体" w:hAnsi="方正仿宋简体" w:eastAsia="方正仿宋简体" w:cs="方正仿宋简体"/>
          <w:spacing w:val="6"/>
          <w:sz w:val="32"/>
          <w:szCs w:val="32"/>
          <w:lang w:eastAsia="zh-CN"/>
        </w:rPr>
        <w:t>，</w:t>
      </w:r>
      <w:r>
        <w:rPr>
          <w:rFonts w:hint="eastAsia" w:ascii="方正仿宋简体" w:hAnsi="方正仿宋简体" w:eastAsia="方正仿宋简体" w:cs="方正仿宋简体"/>
          <w:spacing w:val="6"/>
          <w:sz w:val="32"/>
          <w:szCs w:val="32"/>
        </w:rPr>
        <w:t>扎实做好“六稳”工作，落实“六保”任务，紧紧围绕目标任务，坚持把绩效作为财政管理的“底线”，建立健全全方位、全过程、全覆盖的预算绩效管理体系，逐步提高预算</w:t>
      </w:r>
      <w:r>
        <w:rPr>
          <w:rFonts w:hint="eastAsia" w:ascii="方正仿宋简体" w:hAnsi="方正仿宋简体" w:eastAsia="方正仿宋简体" w:cs="方正仿宋简体"/>
          <w:spacing w:val="6"/>
          <w:sz w:val="32"/>
          <w:szCs w:val="32"/>
          <w:lang w:val="en-US" w:eastAsia="zh-CN"/>
        </w:rPr>
        <w:t>绩效</w:t>
      </w:r>
      <w:r>
        <w:rPr>
          <w:rFonts w:hint="eastAsia" w:ascii="方正仿宋简体" w:hAnsi="方正仿宋简体" w:eastAsia="方正仿宋简体" w:cs="方正仿宋简体"/>
          <w:spacing w:val="6"/>
          <w:sz w:val="32"/>
          <w:szCs w:val="32"/>
        </w:rPr>
        <w:t>管理水平和政策实施效果，为经济社会持续健康发展提供保障。</w:t>
      </w:r>
    </w:p>
    <w:p>
      <w:pPr>
        <w:pStyle w:val="10"/>
        <w:keepNext w:val="0"/>
        <w:keepLines w:val="0"/>
        <w:pageBreakBefore w:val="0"/>
        <w:widowControl w:val="0"/>
        <w:kinsoku/>
        <w:wordWrap/>
        <w:overflowPunct/>
        <w:topLinePunct w:val="0"/>
        <w:autoSpaceDE/>
        <w:autoSpaceDN/>
        <w:bidi w:val="0"/>
        <w:adjustRightInd/>
        <w:snapToGrid/>
        <w:spacing w:line="620" w:lineRule="atLeast"/>
        <w:ind w:left="664" w:firstLine="0" w:firstLineChars="0"/>
        <w:textAlignment w:val="auto"/>
        <w:rPr>
          <w:rFonts w:hint="eastAsia" w:ascii="方正仿宋简体" w:hAnsi="方正仿宋简体" w:eastAsia="方正仿宋简体" w:cs="方正仿宋简体"/>
          <w:b/>
          <w:bCs/>
          <w:spacing w:val="6"/>
          <w:sz w:val="32"/>
          <w:szCs w:val="32"/>
        </w:rPr>
      </w:pPr>
      <w:r>
        <w:rPr>
          <w:rFonts w:hint="eastAsia" w:ascii="方正仿宋简体" w:hAnsi="方正仿宋简体" w:eastAsia="方正仿宋简体" w:cs="方正仿宋简体"/>
          <w:b/>
          <w:bCs/>
          <w:spacing w:val="6"/>
          <w:sz w:val="32"/>
          <w:szCs w:val="32"/>
        </w:rPr>
        <w:t>一、加强组织领导，建立健全预算绩效制度</w:t>
      </w:r>
    </w:p>
    <w:p>
      <w:pPr>
        <w:keepNext w:val="0"/>
        <w:keepLines w:val="0"/>
        <w:pageBreakBefore w:val="0"/>
        <w:widowControl w:val="0"/>
        <w:kinsoku/>
        <w:wordWrap/>
        <w:overflowPunct/>
        <w:topLinePunct w:val="0"/>
        <w:autoSpaceDE/>
        <w:autoSpaceDN/>
        <w:bidi w:val="0"/>
        <w:adjustRightInd/>
        <w:snapToGrid/>
        <w:spacing w:line="620" w:lineRule="atLeast"/>
        <w:ind w:firstLine="664" w:firstLineChars="200"/>
        <w:textAlignment w:val="auto"/>
        <w:rPr>
          <w:rFonts w:hint="eastAsia" w:ascii="方正仿宋简体" w:hAnsi="方正仿宋简体" w:eastAsia="方正仿宋简体" w:cs="方正仿宋简体"/>
          <w:spacing w:val="6"/>
          <w:sz w:val="32"/>
          <w:szCs w:val="32"/>
        </w:rPr>
      </w:pPr>
      <w:r>
        <w:rPr>
          <w:rFonts w:hint="eastAsia" w:ascii="方正仿宋简体" w:hAnsi="方正仿宋简体" w:eastAsia="方正仿宋简体" w:cs="方正仿宋简体"/>
          <w:spacing w:val="6"/>
          <w:sz w:val="32"/>
          <w:szCs w:val="32"/>
        </w:rPr>
        <w:t>县委、县人民政府高度重视预算绩效管理工作，把绩效管理的要求体现在具体决策部署中，</w:t>
      </w:r>
      <w:r>
        <w:rPr>
          <w:rFonts w:hint="eastAsia" w:ascii="方正仿宋简体" w:hAnsi="方正仿宋简体" w:eastAsia="方正仿宋简体" w:cs="方正仿宋简体"/>
          <w:spacing w:val="6"/>
          <w:sz w:val="32"/>
          <w:szCs w:val="32"/>
          <w:lang w:val="en-US" w:eastAsia="zh-CN"/>
        </w:rPr>
        <w:t>持续构建莎车</w:t>
      </w:r>
      <w:r>
        <w:rPr>
          <w:rFonts w:hint="eastAsia" w:ascii="方正仿宋简体" w:hAnsi="方正仿宋简体" w:eastAsia="方正仿宋简体" w:cs="方正仿宋简体"/>
          <w:spacing w:val="6"/>
          <w:sz w:val="32"/>
          <w:szCs w:val="32"/>
        </w:rPr>
        <w:t>县全面实施预算绩效管理工作领导小组，建立财政部门统一组织指导、预算部门具体实施、专业机构支持配合、社会各界广泛参与的领导工作机制和监督制约机制，合力有序推进财</w:t>
      </w:r>
      <w:r>
        <w:rPr>
          <w:rFonts w:hint="eastAsia" w:ascii="方正仿宋简体" w:hAnsi="方正仿宋简体" w:eastAsia="方正仿宋简体" w:cs="方正仿宋简体"/>
          <w:spacing w:val="6"/>
          <w:sz w:val="32"/>
          <w:szCs w:val="32"/>
          <w:lang w:val="en-US" w:eastAsia="zh-CN"/>
        </w:rPr>
        <w:t>政</w:t>
      </w:r>
      <w:r>
        <w:rPr>
          <w:rFonts w:hint="eastAsia" w:ascii="方正仿宋简体" w:hAnsi="方正仿宋简体" w:eastAsia="方正仿宋简体" w:cs="方正仿宋简体"/>
          <w:spacing w:val="6"/>
          <w:sz w:val="32"/>
          <w:szCs w:val="32"/>
        </w:rPr>
        <w:t>预算绩效管理工作。县委、县人民政府</w:t>
      </w:r>
      <w:r>
        <w:rPr>
          <w:rFonts w:hint="eastAsia" w:ascii="方正仿宋简体" w:hAnsi="方正仿宋简体" w:eastAsia="方正仿宋简体" w:cs="方正仿宋简体"/>
          <w:spacing w:val="6"/>
          <w:sz w:val="32"/>
          <w:szCs w:val="32"/>
          <w:lang w:val="en-US" w:eastAsia="zh-CN"/>
        </w:rPr>
        <w:t>主要领导多次开会部署安排，</w:t>
      </w:r>
      <w:r>
        <w:rPr>
          <w:rFonts w:hint="eastAsia" w:ascii="方正仿宋简体" w:hAnsi="方正仿宋简体" w:eastAsia="方正仿宋简体" w:cs="方正仿宋简体"/>
          <w:spacing w:val="6"/>
          <w:sz w:val="32"/>
          <w:szCs w:val="32"/>
        </w:rPr>
        <w:t>经常性听取项目绩效工作开展情况，分管县领导定期推进，紧抓落实，工作基础逐步夯实，做到工作任务明确，工作责任清晰、工作要求严格，要求部门单位之间密切配合，加强沟通协调，形成工作合力</w:t>
      </w:r>
      <w:r>
        <w:rPr>
          <w:rFonts w:hint="eastAsia" w:ascii="方正仿宋简体" w:hAnsi="方正仿宋简体" w:eastAsia="方正仿宋简体" w:cs="方正仿宋简体"/>
          <w:spacing w:val="6"/>
          <w:sz w:val="32"/>
          <w:szCs w:val="32"/>
          <w:lang w:val="en-US" w:eastAsia="zh-CN"/>
        </w:rPr>
        <w:t>。同时提请人大对重点项目进行审核监督。我县</w:t>
      </w:r>
      <w:r>
        <w:rPr>
          <w:rFonts w:hint="eastAsia" w:ascii="方正仿宋简体" w:hAnsi="方正仿宋简体" w:eastAsia="方正仿宋简体" w:cs="方正仿宋简体"/>
          <w:spacing w:val="6"/>
          <w:sz w:val="32"/>
          <w:szCs w:val="32"/>
        </w:rPr>
        <w:t>严格按照《莎车县全面实施预算绩效管理的实施方案》、《中共莎车县委 莎车县人民政府关于全面实施预算绩效管理的实施意见》的要求，</w:t>
      </w:r>
      <w:r>
        <w:rPr>
          <w:rFonts w:hint="eastAsia" w:ascii="方正仿宋简体" w:hAnsi="方正仿宋简体" w:eastAsia="方正仿宋简体" w:cs="方正仿宋简体"/>
          <w:sz w:val="32"/>
          <w:szCs w:val="32"/>
        </w:rPr>
        <w:t>高位推动，</w:t>
      </w:r>
      <w:r>
        <w:rPr>
          <w:rFonts w:hint="eastAsia" w:ascii="方正仿宋简体" w:hAnsi="方正仿宋简体" w:eastAsia="方正仿宋简体" w:cs="方正仿宋简体"/>
          <w:spacing w:val="6"/>
          <w:sz w:val="32"/>
          <w:szCs w:val="32"/>
        </w:rPr>
        <w:t>统筹做好</w:t>
      </w:r>
      <w:r>
        <w:rPr>
          <w:rFonts w:hint="eastAsia" w:ascii="方正仿宋简体" w:hAnsi="方正仿宋简体" w:eastAsia="方正仿宋简体" w:cs="方正仿宋简体"/>
          <w:spacing w:val="6"/>
          <w:sz w:val="32"/>
          <w:szCs w:val="32"/>
          <w:lang w:val="en-US" w:eastAsia="zh-CN"/>
        </w:rPr>
        <w:t>绩效管理各项</w:t>
      </w:r>
      <w:r>
        <w:rPr>
          <w:rFonts w:hint="eastAsia" w:ascii="方正仿宋简体" w:hAnsi="方正仿宋简体" w:eastAsia="方正仿宋简体" w:cs="方正仿宋简体"/>
          <w:spacing w:val="6"/>
          <w:sz w:val="32"/>
          <w:szCs w:val="32"/>
        </w:rPr>
        <w:t>工</w:t>
      </w:r>
      <w:r>
        <w:rPr>
          <w:rFonts w:hint="eastAsia" w:ascii="方正仿宋简体" w:hAnsi="方正仿宋简体" w:eastAsia="方正仿宋简体" w:cs="方正仿宋简体"/>
          <w:spacing w:val="6"/>
          <w:sz w:val="32"/>
          <w:szCs w:val="32"/>
          <w:lang w:val="en-US" w:eastAsia="zh-CN"/>
        </w:rPr>
        <w:t>作，</w:t>
      </w:r>
      <w:r>
        <w:rPr>
          <w:rFonts w:hint="eastAsia" w:ascii="方正仿宋简体" w:hAnsi="方正仿宋简体" w:eastAsia="方正仿宋简体" w:cs="方正仿宋简体"/>
          <w:sz w:val="32"/>
          <w:szCs w:val="32"/>
        </w:rPr>
        <w:t>促进预算绩效管理提质增效。</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bCs/>
          <w:spacing w:val="6"/>
          <w:sz w:val="32"/>
          <w:szCs w:val="32"/>
        </w:rPr>
      </w:pPr>
      <w:r>
        <w:rPr>
          <w:rFonts w:hint="eastAsia" w:ascii="方正仿宋简体" w:hAnsi="方正仿宋简体" w:eastAsia="方正仿宋简体" w:cs="方正仿宋简体"/>
          <w:b/>
          <w:bCs/>
          <w:spacing w:val="6"/>
          <w:sz w:val="32"/>
          <w:szCs w:val="32"/>
        </w:rPr>
        <w:t>二、202</w:t>
      </w:r>
      <w:r>
        <w:rPr>
          <w:rFonts w:hint="eastAsia" w:ascii="方正仿宋简体" w:hAnsi="方正仿宋简体" w:eastAsia="方正仿宋简体" w:cs="方正仿宋简体"/>
          <w:b/>
          <w:bCs/>
          <w:spacing w:val="6"/>
          <w:sz w:val="32"/>
          <w:szCs w:val="32"/>
          <w:lang w:val="en-US" w:eastAsia="zh-CN"/>
        </w:rPr>
        <w:t>1</w:t>
      </w:r>
      <w:r>
        <w:rPr>
          <w:rFonts w:hint="eastAsia" w:ascii="方正仿宋简体" w:hAnsi="方正仿宋简体" w:eastAsia="方正仿宋简体" w:cs="方正仿宋简体"/>
          <w:b/>
          <w:bCs/>
          <w:spacing w:val="6"/>
          <w:sz w:val="32"/>
          <w:szCs w:val="32"/>
        </w:rPr>
        <w:t>年预算绩效工作开展情况</w:t>
      </w:r>
    </w:p>
    <w:p>
      <w:pPr>
        <w:keepNext w:val="0"/>
        <w:keepLines w:val="0"/>
        <w:pageBreakBefore w:val="0"/>
        <w:widowControl w:val="0"/>
        <w:kinsoku/>
        <w:wordWrap/>
        <w:overflowPunct/>
        <w:topLinePunct w:val="0"/>
        <w:autoSpaceDE/>
        <w:autoSpaceDN/>
        <w:bidi w:val="0"/>
        <w:adjustRightInd/>
        <w:snapToGrid/>
        <w:spacing w:line="620" w:lineRule="atLeast"/>
        <w:ind w:left="0" w:firstLine="708" w:firstLineChars="200"/>
        <w:textAlignment w:val="auto"/>
        <w:rPr>
          <w:rFonts w:hint="eastAsia" w:ascii="方正仿宋简体" w:hAnsi="方正仿宋简体" w:eastAsia="方正仿宋简体" w:cs="方正仿宋简体"/>
          <w:color w:val="000000"/>
          <w:spacing w:val="17"/>
          <w:sz w:val="32"/>
          <w:szCs w:val="32"/>
          <w:highlight w:val="none"/>
          <w:lang w:val="en-US" w:eastAsia="zh-CN"/>
        </w:rPr>
      </w:pPr>
      <w:r>
        <w:rPr>
          <w:rFonts w:hint="eastAsia" w:ascii="方正仿宋简体" w:hAnsi="方正仿宋简体" w:eastAsia="方正仿宋简体" w:cs="方正仿宋简体"/>
          <w:color w:val="000000"/>
          <w:spacing w:val="17"/>
          <w:sz w:val="32"/>
          <w:szCs w:val="32"/>
          <w:highlight w:val="none"/>
          <w:lang w:val="en-US" w:eastAsia="zh-CN"/>
        </w:rPr>
        <w:t>1.2021年度项目支出绩效情况。编制2021年项目单位自评涉及单位93个，执行项目580个，安排项目资金86.57亿元，其中：当年财政拨款84.33亿元，上年结转资金1.33亿元，其他资金0.91亿元。实际执行项目资金82.03亿元，执行率94.76%。其中：衔接资金127个，涉及资金22.43亿元。项目部门评价按照文件要求选取资金的20%做部门评价报告，我县共选取47个单位共74个项目进行部门</w:t>
      </w:r>
      <w:bookmarkStart w:id="0" w:name="_GoBack"/>
      <w:bookmarkEnd w:id="0"/>
      <w:r>
        <w:rPr>
          <w:rFonts w:hint="eastAsia" w:ascii="方正仿宋简体" w:hAnsi="方正仿宋简体" w:eastAsia="方正仿宋简体" w:cs="方正仿宋简体"/>
          <w:color w:val="000000"/>
          <w:spacing w:val="17"/>
          <w:sz w:val="32"/>
          <w:szCs w:val="32"/>
          <w:highlight w:val="none"/>
          <w:lang w:val="en-US" w:eastAsia="zh-CN"/>
        </w:rPr>
        <w:t>评价。</w:t>
      </w:r>
    </w:p>
    <w:p>
      <w:pPr>
        <w:keepNext w:val="0"/>
        <w:keepLines w:val="0"/>
        <w:pageBreakBefore w:val="0"/>
        <w:widowControl w:val="0"/>
        <w:kinsoku/>
        <w:wordWrap/>
        <w:overflowPunct/>
        <w:topLinePunct w:val="0"/>
        <w:autoSpaceDE/>
        <w:autoSpaceDN/>
        <w:bidi w:val="0"/>
        <w:adjustRightInd/>
        <w:snapToGrid/>
        <w:spacing w:line="620" w:lineRule="atLeast"/>
        <w:ind w:left="0" w:firstLine="708" w:firstLineChars="200"/>
        <w:textAlignment w:val="auto"/>
        <w:rPr>
          <w:rFonts w:hint="eastAsia" w:ascii="方正仿宋简体" w:hAnsi="方正仿宋简体" w:eastAsia="方正仿宋简体" w:cs="方正仿宋简体"/>
          <w:color w:val="000000"/>
          <w:spacing w:val="17"/>
          <w:sz w:val="32"/>
          <w:szCs w:val="32"/>
          <w:highlight w:val="none"/>
          <w:lang w:val="en-US" w:eastAsia="zh-CN"/>
        </w:rPr>
      </w:pPr>
      <w:r>
        <w:rPr>
          <w:rFonts w:hint="eastAsia" w:ascii="方正仿宋简体" w:hAnsi="方正仿宋简体" w:eastAsia="方正仿宋简体" w:cs="方正仿宋简体"/>
          <w:color w:val="000000"/>
          <w:spacing w:val="17"/>
          <w:sz w:val="32"/>
          <w:szCs w:val="32"/>
          <w:highlight w:val="none"/>
          <w:lang w:val="en-US" w:eastAsia="zh-CN"/>
        </w:rPr>
        <w:t>2.2021年度整体支出绩效情况。2021年整体支出绩效自评单位117个，涉及资金46.91亿元，实际执行项目资金46.58亿元，执行率99.3%。并全部填报自评报告。</w:t>
      </w:r>
    </w:p>
    <w:p>
      <w:pPr>
        <w:keepNext w:val="0"/>
        <w:keepLines w:val="0"/>
        <w:pageBreakBefore w:val="0"/>
        <w:widowControl w:val="0"/>
        <w:kinsoku/>
        <w:wordWrap/>
        <w:overflowPunct/>
        <w:topLinePunct w:val="0"/>
        <w:autoSpaceDE/>
        <w:autoSpaceDN/>
        <w:bidi w:val="0"/>
        <w:adjustRightInd/>
        <w:snapToGrid/>
        <w:spacing w:line="620" w:lineRule="atLeast"/>
        <w:ind w:left="0" w:firstLine="708" w:firstLineChars="200"/>
        <w:textAlignment w:val="auto"/>
        <w:rPr>
          <w:rFonts w:hint="eastAsia" w:ascii="方正仿宋简体" w:hAnsi="方正仿宋简体" w:eastAsia="方正仿宋简体" w:cs="方正仿宋简体"/>
          <w:color w:val="000000"/>
          <w:spacing w:val="17"/>
          <w:sz w:val="32"/>
          <w:szCs w:val="32"/>
          <w:highlight w:val="none"/>
          <w:lang w:val="en-US" w:eastAsia="zh-CN"/>
        </w:rPr>
      </w:pPr>
      <w:r>
        <w:rPr>
          <w:rFonts w:hint="eastAsia" w:ascii="方正仿宋简体" w:hAnsi="方正仿宋简体" w:eastAsia="方正仿宋简体" w:cs="方正仿宋简体"/>
          <w:color w:val="000000"/>
          <w:spacing w:val="17"/>
          <w:sz w:val="32"/>
          <w:szCs w:val="32"/>
          <w:highlight w:val="none"/>
          <w:lang w:val="en-US" w:eastAsia="zh-CN"/>
        </w:rPr>
        <w:t>3.2021年度重点项目绩效情况。2021年重点评价项目10个，涉及预算单位8个，涉及预算资金1.46亿元，实际执行项目资金1.46亿元，执行率100%。</w:t>
      </w:r>
    </w:p>
    <w:p>
      <w:pPr>
        <w:keepNext w:val="0"/>
        <w:keepLines w:val="0"/>
        <w:pageBreakBefore w:val="0"/>
        <w:widowControl w:val="0"/>
        <w:kinsoku/>
        <w:wordWrap/>
        <w:overflowPunct/>
        <w:topLinePunct w:val="0"/>
        <w:autoSpaceDE/>
        <w:autoSpaceDN/>
        <w:bidi w:val="0"/>
        <w:adjustRightInd/>
        <w:snapToGrid/>
        <w:spacing w:line="620" w:lineRule="atLeast"/>
        <w:ind w:firstLine="664" w:firstLineChars="200"/>
        <w:textAlignment w:val="auto"/>
        <w:rPr>
          <w:rFonts w:hint="eastAsia" w:ascii="方正仿宋简体" w:hAnsi="方正仿宋简体" w:eastAsia="方正仿宋简体" w:cs="方正仿宋简体"/>
          <w:spacing w:val="6"/>
          <w:sz w:val="32"/>
          <w:szCs w:val="32"/>
        </w:rPr>
      </w:pPr>
      <w:r>
        <w:rPr>
          <w:rFonts w:hint="eastAsia" w:ascii="方正仿宋简体" w:hAnsi="方正仿宋简体" w:eastAsia="方正仿宋简体" w:cs="方正仿宋简体"/>
          <w:spacing w:val="6"/>
          <w:sz w:val="32"/>
          <w:szCs w:val="32"/>
        </w:rPr>
        <w:t>202</w:t>
      </w:r>
      <w:r>
        <w:rPr>
          <w:rFonts w:hint="eastAsia" w:ascii="方正仿宋简体" w:hAnsi="方正仿宋简体" w:eastAsia="方正仿宋简体" w:cs="方正仿宋简体"/>
          <w:spacing w:val="6"/>
          <w:sz w:val="32"/>
          <w:szCs w:val="32"/>
          <w:lang w:val="en-US" w:eastAsia="zh-CN"/>
        </w:rPr>
        <w:t>1</w:t>
      </w:r>
      <w:r>
        <w:rPr>
          <w:rFonts w:hint="eastAsia" w:ascii="方正仿宋简体" w:hAnsi="方正仿宋简体" w:eastAsia="方正仿宋简体" w:cs="方正仿宋简体"/>
          <w:spacing w:val="6"/>
          <w:sz w:val="32"/>
          <w:szCs w:val="32"/>
        </w:rPr>
        <w:t>年，我县充分利用绩效信息系统，借助第三方力量，规范绩效管理工作。将全口径项目及整体支出项目从目标的设置、运行的监管及自评管理应用到预算绩效管理信息系统，将全过程进行“一窗化”展示，实现了预算绩效信息化管理，进一步提升预算绩效管理工作的效率，增强了绩效经办人员绩效意识。聘请第三方中介机构加强预算绩效管理为加强预算绩效管理，促使评价规范有序和客观公正，维护各方合法权益，承接县预算绩效管理业务。经过第三方中介机构多次指导，提高了全县各部门单位人员绩效工作责任意识及业务水平。对莎车县202</w:t>
      </w:r>
      <w:r>
        <w:rPr>
          <w:rFonts w:hint="eastAsia" w:ascii="方正仿宋简体" w:hAnsi="方正仿宋简体" w:eastAsia="方正仿宋简体" w:cs="方正仿宋简体"/>
          <w:spacing w:val="6"/>
          <w:sz w:val="32"/>
          <w:szCs w:val="32"/>
          <w:lang w:val="en-US" w:eastAsia="zh-CN"/>
        </w:rPr>
        <w:t>1</w:t>
      </w:r>
      <w:r>
        <w:rPr>
          <w:rFonts w:hint="eastAsia" w:ascii="方正仿宋简体" w:hAnsi="方正仿宋简体" w:eastAsia="方正仿宋简体" w:cs="方正仿宋简体"/>
          <w:spacing w:val="6"/>
          <w:sz w:val="32"/>
          <w:szCs w:val="32"/>
        </w:rPr>
        <w:t>年项目绩效绩效目标申报、绩效监管、绩效自评等进行规范有序、客观公正审核评价。</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bCs/>
          <w:spacing w:val="6"/>
          <w:sz w:val="32"/>
          <w:szCs w:val="32"/>
        </w:rPr>
      </w:pPr>
      <w:r>
        <w:rPr>
          <w:rFonts w:hint="eastAsia" w:ascii="方正仿宋简体" w:hAnsi="方正仿宋简体" w:eastAsia="方正仿宋简体" w:cs="方正仿宋简体"/>
          <w:b/>
          <w:bCs/>
          <w:spacing w:val="6"/>
          <w:sz w:val="32"/>
          <w:szCs w:val="32"/>
        </w:rPr>
        <w:t>三、下一步工作具体措施</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spacing w:val="6"/>
          <w:sz w:val="32"/>
          <w:szCs w:val="32"/>
        </w:rPr>
        <w:t>（一）优化预算绩效管理制度。</w:t>
      </w:r>
      <w:r>
        <w:rPr>
          <w:rFonts w:hint="eastAsia" w:ascii="方正仿宋简体" w:hAnsi="方正仿宋简体" w:eastAsia="方正仿宋简体" w:cs="方正仿宋简体"/>
          <w:b w:val="0"/>
          <w:bCs w:val="0"/>
          <w:sz w:val="32"/>
          <w:szCs w:val="32"/>
          <w:lang w:val="en-US" w:eastAsia="zh-CN"/>
        </w:rPr>
        <w:t>进一步推动预算绩效管理工作制度的建设，压实单位负责人和具体项目负责人的绩效主体责任，理清单位内部财务、业务部门之间的绩效管理关系。规范绩效目标、绩效监控、绩效评价、结果应用等各项管理流程，为推进预算绩效管理信息系统，建立和完善绩效指标体系提供制度保障。</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spacing w:val="6"/>
          <w:sz w:val="32"/>
          <w:szCs w:val="32"/>
        </w:rPr>
        <w:t>（二）强化</w:t>
      </w:r>
      <w:r>
        <w:rPr>
          <w:rFonts w:hint="eastAsia" w:ascii="方正仿宋简体" w:hAnsi="方正仿宋简体" w:eastAsia="方正仿宋简体" w:cs="方正仿宋简体"/>
          <w:b/>
          <w:spacing w:val="6"/>
          <w:sz w:val="32"/>
          <w:szCs w:val="32"/>
          <w:lang w:val="en-US" w:eastAsia="zh-CN"/>
        </w:rPr>
        <w:t>预算</w:t>
      </w:r>
      <w:r>
        <w:rPr>
          <w:rFonts w:hint="eastAsia" w:ascii="方正仿宋简体" w:hAnsi="方正仿宋简体" w:eastAsia="方正仿宋简体" w:cs="方正仿宋简体"/>
          <w:b/>
          <w:spacing w:val="6"/>
          <w:sz w:val="32"/>
          <w:szCs w:val="32"/>
        </w:rPr>
        <w:t>绩效</w:t>
      </w:r>
      <w:r>
        <w:rPr>
          <w:rFonts w:hint="eastAsia" w:ascii="方正仿宋简体" w:hAnsi="方正仿宋简体" w:eastAsia="方正仿宋简体" w:cs="方正仿宋简体"/>
          <w:b/>
          <w:spacing w:val="6"/>
          <w:sz w:val="32"/>
          <w:szCs w:val="32"/>
          <w:lang w:val="en-US" w:eastAsia="zh-CN"/>
        </w:rPr>
        <w:t>评价质量</w:t>
      </w:r>
      <w:r>
        <w:rPr>
          <w:rFonts w:hint="eastAsia" w:ascii="方正仿宋简体" w:hAnsi="方正仿宋简体" w:eastAsia="方正仿宋简体" w:cs="方正仿宋简体"/>
          <w:b/>
          <w:spacing w:val="6"/>
          <w:sz w:val="32"/>
          <w:szCs w:val="32"/>
        </w:rPr>
        <w:t>。</w:t>
      </w:r>
      <w:r>
        <w:rPr>
          <w:rFonts w:hint="eastAsia" w:ascii="方正仿宋简体" w:hAnsi="方正仿宋简体" w:eastAsia="方正仿宋简体" w:cs="方正仿宋简体"/>
          <w:b w:val="0"/>
          <w:bCs w:val="0"/>
          <w:sz w:val="32"/>
          <w:szCs w:val="32"/>
          <w:lang w:val="en-US" w:eastAsia="zh-CN"/>
        </w:rPr>
        <w:t>借助第三方力量和信息化系统技术支撑，进一步提升绩效管理质量，特别是绩效目标设置方面更加关注项目专业方面的合理性。加大对单位项目的实地核查力度，绩效监控和评价重点关注项目实际产生效益情况，确保项目绩效质量持续提升。保障预算绩效管理与预算编制、执行、监督的有效衔接。</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spacing w:val="6"/>
          <w:sz w:val="32"/>
          <w:szCs w:val="32"/>
        </w:rPr>
        <w:t>（三）</w:t>
      </w:r>
      <w:r>
        <w:rPr>
          <w:rFonts w:hint="eastAsia" w:ascii="方正仿宋简体" w:hAnsi="方正仿宋简体" w:eastAsia="方正仿宋简体" w:cs="方正仿宋简体"/>
          <w:b/>
          <w:spacing w:val="6"/>
          <w:sz w:val="32"/>
          <w:szCs w:val="32"/>
          <w:lang w:val="en-US" w:eastAsia="zh-CN"/>
        </w:rPr>
        <w:t>提升</w:t>
      </w:r>
      <w:r>
        <w:rPr>
          <w:rFonts w:hint="eastAsia" w:ascii="方正仿宋简体" w:hAnsi="方正仿宋简体" w:eastAsia="方正仿宋简体" w:cs="方正仿宋简体"/>
          <w:b/>
          <w:spacing w:val="6"/>
          <w:sz w:val="32"/>
          <w:szCs w:val="32"/>
        </w:rPr>
        <w:t>预算绩效</w:t>
      </w:r>
      <w:r>
        <w:rPr>
          <w:rFonts w:hint="eastAsia" w:ascii="方正仿宋简体" w:hAnsi="方正仿宋简体" w:eastAsia="方正仿宋简体" w:cs="方正仿宋简体"/>
          <w:b/>
          <w:spacing w:val="6"/>
          <w:sz w:val="32"/>
          <w:szCs w:val="32"/>
          <w:lang w:val="en-US" w:eastAsia="zh-CN"/>
        </w:rPr>
        <w:t>人员业务水平</w:t>
      </w:r>
      <w:r>
        <w:rPr>
          <w:rFonts w:hint="eastAsia" w:ascii="方正仿宋简体" w:hAnsi="方正仿宋简体" w:eastAsia="方正仿宋简体" w:cs="方正仿宋简体"/>
          <w:b/>
          <w:spacing w:val="6"/>
          <w:sz w:val="32"/>
          <w:szCs w:val="32"/>
        </w:rPr>
        <w:t>。</w:t>
      </w:r>
      <w:r>
        <w:rPr>
          <w:rFonts w:hint="eastAsia" w:ascii="方正仿宋简体" w:hAnsi="方正仿宋简体" w:eastAsia="方正仿宋简体" w:cs="方正仿宋简体"/>
          <w:b w:val="0"/>
          <w:bCs w:val="0"/>
          <w:sz w:val="32"/>
          <w:szCs w:val="32"/>
          <w:lang w:val="en-US" w:eastAsia="zh-CN"/>
        </w:rPr>
        <w:t>引导树牢“各级政府重视绩效、各部门追求绩效、社会公众监督绩效”的理念，为预算绩效管理创造良好的思想基础和舆论环境。充分利用第三方专业力量，针对预算绩效管理全过程链条、各节点工作难点开展培训，提升人员绩效管理能力。打造一支清正廉洁、踏实肯干、素质过硬、作风优良的预算绩效管理队伍，有效提高预算绩效管理的工作水平。</w:t>
      </w:r>
    </w:p>
    <w:p>
      <w:pPr>
        <w:keepNext w:val="0"/>
        <w:keepLines w:val="0"/>
        <w:pageBreakBefore w:val="0"/>
        <w:widowControl w:val="0"/>
        <w:kinsoku/>
        <w:wordWrap/>
        <w:overflowPunct/>
        <w:topLinePunct w:val="0"/>
        <w:autoSpaceDE/>
        <w:autoSpaceDN/>
        <w:bidi w:val="0"/>
        <w:adjustRightInd/>
        <w:snapToGrid/>
        <w:spacing w:line="620" w:lineRule="atLeast"/>
        <w:ind w:firstLine="667" w:firstLineChars="20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spacing w:val="6"/>
          <w:sz w:val="32"/>
          <w:szCs w:val="32"/>
        </w:rPr>
        <w:t>（四）加</w:t>
      </w:r>
      <w:r>
        <w:rPr>
          <w:rFonts w:hint="eastAsia" w:ascii="方正仿宋简体" w:hAnsi="方正仿宋简体" w:eastAsia="方正仿宋简体" w:cs="方正仿宋简体"/>
          <w:b/>
          <w:spacing w:val="6"/>
          <w:sz w:val="32"/>
          <w:szCs w:val="32"/>
          <w:lang w:val="en-US" w:eastAsia="zh-CN"/>
        </w:rPr>
        <w:t>大绩效信息</w:t>
      </w:r>
      <w:r>
        <w:rPr>
          <w:rFonts w:hint="eastAsia" w:ascii="方正仿宋简体" w:hAnsi="方正仿宋简体" w:eastAsia="方正仿宋简体" w:cs="方正仿宋简体"/>
          <w:b/>
          <w:spacing w:val="6"/>
          <w:sz w:val="32"/>
          <w:szCs w:val="32"/>
        </w:rPr>
        <w:t>公开</w:t>
      </w:r>
      <w:r>
        <w:rPr>
          <w:rFonts w:hint="eastAsia" w:ascii="方正仿宋简体" w:hAnsi="方正仿宋简体" w:eastAsia="方正仿宋简体" w:cs="方正仿宋简体"/>
          <w:b/>
          <w:spacing w:val="6"/>
          <w:sz w:val="32"/>
          <w:szCs w:val="32"/>
          <w:lang w:val="en-US" w:eastAsia="zh-CN"/>
        </w:rPr>
        <w:t>宣传</w:t>
      </w:r>
      <w:r>
        <w:rPr>
          <w:rFonts w:hint="eastAsia" w:ascii="方正仿宋简体" w:hAnsi="方正仿宋简体" w:eastAsia="方正仿宋简体" w:cs="方正仿宋简体"/>
          <w:b/>
          <w:spacing w:val="6"/>
          <w:sz w:val="32"/>
          <w:szCs w:val="32"/>
        </w:rPr>
        <w:t>力度。</w:t>
      </w:r>
      <w:r>
        <w:rPr>
          <w:rFonts w:hint="eastAsia" w:ascii="方正仿宋简体" w:hAnsi="方正仿宋简体" w:eastAsia="方正仿宋简体" w:cs="方正仿宋简体"/>
          <w:b w:val="0"/>
          <w:bCs w:val="0"/>
          <w:sz w:val="32"/>
          <w:szCs w:val="32"/>
          <w:lang w:val="en-US" w:eastAsia="zh-CN"/>
        </w:rPr>
        <w:t>切实加强舆论引导，积极培养绩效管理文化，发挥宣传合力，多途径、多渠道宣传绩效文化。依法推进绩效信息公开，搭建社会公众参与绩效管理的途径和平台，自觉接受社会各界监督。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9C8068B"/>
    <w:rsid w:val="00233E73"/>
    <w:rsid w:val="0040518C"/>
    <w:rsid w:val="004B7B8C"/>
    <w:rsid w:val="00760E8E"/>
    <w:rsid w:val="009A0EE7"/>
    <w:rsid w:val="009F6EC7"/>
    <w:rsid w:val="00A339DD"/>
    <w:rsid w:val="00AA7069"/>
    <w:rsid w:val="00B77C19"/>
    <w:rsid w:val="00BC1D47"/>
    <w:rsid w:val="00C44213"/>
    <w:rsid w:val="00CF33BA"/>
    <w:rsid w:val="00CF6A93"/>
    <w:rsid w:val="00D95784"/>
    <w:rsid w:val="00ED2B74"/>
    <w:rsid w:val="03C75BC8"/>
    <w:rsid w:val="09C8068B"/>
    <w:rsid w:val="2A882D14"/>
    <w:rsid w:val="42272A19"/>
    <w:rsid w:val="53C81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9"/>
    <w:pPr>
      <w:keepNext/>
      <w:keepLines/>
      <w:spacing w:line="413" w:lineRule="auto"/>
      <w:outlineLvl w:val="1"/>
    </w:pPr>
    <w:rPr>
      <w:rFonts w:ascii="Arial" w:hAnsi="Arial" w:eastAsia="方正黑体简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rPr>
      <w:sz w:val="28"/>
    </w:rPr>
  </w:style>
  <w:style w:type="paragraph" w:customStyle="1" w:styleId="4">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styleId="10">
    <w:name w:val="List Paragraph"/>
    <w:basedOn w:val="1"/>
    <w:unhideWhenUsed/>
    <w:uiPriority w:val="99"/>
    <w:pPr>
      <w:ind w:firstLine="420" w:firstLineChars="200"/>
    </w:pPr>
  </w:style>
  <w:style w:type="character" w:customStyle="1" w:styleId="11">
    <w:name w:val="页眉 Char"/>
    <w:basedOn w:val="8"/>
    <w:link w:val="6"/>
    <w:qFormat/>
    <w:uiPriority w:val="0"/>
    <w:rPr>
      <w:rFonts w:ascii="Calibri" w:hAnsi="Calibri" w:eastAsia="宋体" w:cs="Times New Roman"/>
      <w:kern w:val="2"/>
      <w:sz w:val="18"/>
      <w:szCs w:val="18"/>
    </w:rPr>
  </w:style>
  <w:style w:type="character" w:customStyle="1" w:styleId="12">
    <w:name w:val="页脚 Char"/>
    <w:basedOn w:val="8"/>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369</Words>
  <Characters>2106</Characters>
  <Lines>17</Lines>
  <Paragraphs>4</Paragraphs>
  <TotalTime>13</TotalTime>
  <ScaleCrop>false</ScaleCrop>
  <LinksUpToDate>false</LinksUpToDate>
  <CharactersWithSpaces>2471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2020-09-28T11:10:00Z</dcterms:created>
  <dc:creator>Administrator</dc:creator>
  <cp:lastModifiedBy>Administrator</cp:lastModifiedBy>
  <dcterms:modified xsi:type="dcterms:W3CDTF">2022-10-13T10:54:52Z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