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620" w:lineRule="atLeast"/>
        <w:jc w:val="both"/>
        <w:textAlignment w:val="auto"/>
        <w:rPr>
          <w:rFonts w:hint="eastAsia" w:ascii="Times New Roman" w:hAnsi="Times New Roman" w:eastAsia="方正小标宋_GBK" w:cs="方正小标宋_GBK"/>
          <w:sz w:val="40"/>
          <w:szCs w:val="40"/>
          <w:lang w:val="en-US" w:eastAsia="zh-CN"/>
        </w:rPr>
      </w:pPr>
    </w:p>
    <w:p>
      <w:pPr>
        <w:keepNext w:val="0"/>
        <w:keepLines w:val="0"/>
        <w:pageBreakBefore w:val="0"/>
        <w:kinsoku/>
        <w:wordWrap/>
        <w:overflowPunct/>
        <w:topLinePunct w:val="0"/>
        <w:autoSpaceDE/>
        <w:autoSpaceDN/>
        <w:bidi w:val="0"/>
        <w:adjustRightInd/>
        <w:snapToGrid/>
        <w:spacing w:line="620" w:lineRule="atLeast"/>
        <w:jc w:val="center"/>
        <w:textAlignment w:val="auto"/>
        <w:outlineLvl w:val="0"/>
        <w:rPr>
          <w:rFonts w:hint="eastAsia" w:ascii="Times New Roman" w:hAnsi="Times New Roman" w:eastAsia="方正小标宋_GBK" w:cs="方正小标宋_GBK"/>
          <w:sz w:val="40"/>
          <w:szCs w:val="40"/>
          <w:lang w:val="en-US" w:eastAsia="zh-CN"/>
        </w:rPr>
      </w:pPr>
      <w:r>
        <w:rPr>
          <w:rFonts w:hint="eastAsia" w:ascii="Times New Roman" w:hAnsi="Times New Roman" w:eastAsia="方正小标宋_GBK" w:cs="方正小标宋_GBK"/>
          <w:sz w:val="40"/>
          <w:szCs w:val="40"/>
          <w:lang w:val="en-US" w:eastAsia="zh-CN"/>
        </w:rPr>
        <w:t>莎车县2026年财政预算调整方案的报告</w:t>
      </w:r>
    </w:p>
    <w:p>
      <w:pPr>
        <w:pStyle w:val="16"/>
        <w:keepNext w:val="0"/>
        <w:keepLines w:val="0"/>
        <w:pageBreakBefore w:val="0"/>
        <w:kinsoku/>
        <w:wordWrap/>
        <w:overflowPunct/>
        <w:topLinePunct w:val="0"/>
        <w:autoSpaceDE/>
        <w:autoSpaceDN/>
        <w:bidi w:val="0"/>
        <w:adjustRightInd/>
        <w:snapToGrid/>
        <w:spacing w:before="0" w:after="0" w:line="620" w:lineRule="atLeast"/>
        <w:ind w:right="0"/>
        <w:jc w:val="both"/>
        <w:textAlignment w:val="auto"/>
        <w:rPr>
          <w:rFonts w:hint="eastAsia" w:ascii="Times New Roman" w:hAnsi="Times New Roman" w:eastAsia="方正仿宋简体" w:cstheme="minorBidi"/>
          <w:kern w:val="2"/>
          <w:sz w:val="32"/>
          <w:szCs w:val="32"/>
          <w:lang w:val="en-US" w:eastAsia="zh-CN" w:bidi="ar-SA"/>
        </w:rPr>
      </w:pPr>
    </w:p>
    <w:p>
      <w:pPr>
        <w:keepNext w:val="0"/>
        <w:keepLines w:val="0"/>
        <w:pageBreakBefore w:val="0"/>
        <w:kinsoku/>
        <w:overflowPunct/>
        <w:topLinePunct w:val="0"/>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kern w:val="2"/>
          <w:sz w:val="32"/>
          <w:szCs w:val="32"/>
          <w:highlight w:val="none"/>
          <w:lang w:val="en-US" w:eastAsia="zh-CN" w:bidi="ar-SA"/>
        </w:rPr>
      </w:pPr>
      <w:r>
        <w:rPr>
          <w:rFonts w:hint="eastAsia" w:ascii="Times New Roman" w:hAnsi="Times New Roman" w:eastAsia="方正仿宋_GBK" w:cs="方正仿宋_GBK"/>
          <w:b w:val="0"/>
          <w:bCs w:val="0"/>
          <w:color w:val="auto"/>
          <w:kern w:val="2"/>
          <w:sz w:val="32"/>
          <w:szCs w:val="32"/>
          <w:highlight w:val="none"/>
          <w:lang w:val="en-US" w:eastAsia="zh-CN" w:bidi="ar-SA"/>
        </w:rPr>
        <w:t>根据工作安排，现将2026年财政预算调整方案报告如下：</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outlineLvl w:val="0"/>
        <w:rPr>
          <w:rFonts w:hint="eastAsia" w:ascii="Times New Roman" w:hAnsi="Times New Roman" w:eastAsia="方正黑体_GBK" w:cs="方正黑体_GBK"/>
          <w:b w:val="0"/>
          <w:bCs w:val="0"/>
          <w:sz w:val="32"/>
          <w:szCs w:val="32"/>
          <w:lang w:val="en-US" w:eastAsia="zh-CN"/>
        </w:rPr>
      </w:pPr>
      <w:r>
        <w:rPr>
          <w:rFonts w:hint="eastAsia" w:ascii="Times New Roman" w:hAnsi="Times New Roman" w:eastAsia="方正黑体_GBK" w:cs="方正黑体_GBK"/>
          <w:b w:val="0"/>
          <w:bCs w:val="0"/>
          <w:sz w:val="32"/>
          <w:szCs w:val="32"/>
          <w:highlight w:val="none"/>
          <w:lang w:val="en-US" w:eastAsia="zh-CN"/>
        </w:rPr>
        <w:t>一、</w:t>
      </w:r>
      <w:r>
        <w:rPr>
          <w:rFonts w:hint="eastAsia" w:ascii="Times New Roman" w:hAnsi="Times New Roman" w:eastAsia="方正黑体_GBK" w:cs="方正黑体_GBK"/>
          <w:b w:val="0"/>
          <w:bCs w:val="0"/>
          <w:sz w:val="32"/>
          <w:szCs w:val="32"/>
          <w:lang w:val="en-US" w:eastAsia="zh-CN"/>
        </w:rPr>
        <w:t>预算调整事由和依据</w:t>
      </w:r>
    </w:p>
    <w:p>
      <w:pPr>
        <w:keepNext w:val="0"/>
        <w:keepLines w:val="0"/>
        <w:pageBreakBefore w:val="0"/>
        <w:kinsoku/>
        <w:overflowPunct/>
        <w:topLinePunct w:val="0"/>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sz w:val="32"/>
          <w:szCs w:val="32"/>
          <w:highlight w:val="none"/>
          <w:lang w:val="en-US" w:eastAsia="zh-CN"/>
        </w:rPr>
      </w:pPr>
      <w:r>
        <w:rPr>
          <w:rFonts w:hint="eastAsia" w:ascii="Times New Roman" w:hAnsi="Times New Roman" w:eastAsia="方正仿宋_GBK" w:cs="方正仿宋_GBK"/>
          <w:b w:val="0"/>
          <w:bCs w:val="0"/>
          <w:color w:val="auto"/>
          <w:kern w:val="2"/>
          <w:sz w:val="32"/>
          <w:szCs w:val="32"/>
          <w:highlight w:val="none"/>
          <w:lang w:val="en-US" w:eastAsia="zh-CN" w:bidi="ar-SA"/>
        </w:rPr>
        <w:t>莎车县2026年财政预算草案经莎车县</w:t>
      </w:r>
      <w:r>
        <w:rPr>
          <w:rFonts w:hint="eastAsia" w:ascii="Times New Roman" w:hAnsi="Times New Roman" w:eastAsia="方正仿宋_GBK" w:cs="方正仿宋_GBK"/>
          <w:color w:val="auto"/>
          <w:kern w:val="2"/>
          <w:sz w:val="32"/>
          <w:szCs w:val="32"/>
          <w:highlight w:val="none"/>
          <w:lang w:val="en-US" w:eastAsia="zh-CN" w:bidi="ar-SA"/>
        </w:rPr>
        <w:t>第十七届人民代表大会第六次会议</w:t>
      </w:r>
      <w:r>
        <w:rPr>
          <w:rFonts w:hint="eastAsia" w:ascii="Times New Roman" w:hAnsi="Times New Roman" w:eastAsia="方正仿宋_GBK" w:cs="方正仿宋_GBK"/>
          <w:kern w:val="2"/>
          <w:sz w:val="32"/>
          <w:szCs w:val="32"/>
          <w:highlight w:val="none"/>
          <w:lang w:val="en-US" w:eastAsia="zh-CN" w:bidi="ar-SA"/>
        </w:rPr>
        <w:t>审议通过后，在预算执行中因</w:t>
      </w:r>
      <w:r>
        <w:rPr>
          <w:rFonts w:hint="eastAsia" w:ascii="Times New Roman" w:hAnsi="Times New Roman" w:eastAsia="方正仿宋_GBK" w:cs="方正仿宋_GBK"/>
          <w:b w:val="0"/>
          <w:bCs w:val="0"/>
          <w:color w:val="auto"/>
          <w:kern w:val="2"/>
          <w:sz w:val="32"/>
          <w:szCs w:val="32"/>
          <w:highlight w:val="none"/>
          <w:lang w:val="en-US" w:eastAsia="zh-CN" w:bidi="ar-SA"/>
        </w:rPr>
        <w:t>新增政府债券、上级下达转移支付调整、3月自治区对各县2026年政府预算编制开展复审反馈情况、县委财经委员会会议研究通过事项等情况，对2026年财政收支预算做相应调整。根据《中华人民共和国预算法》《中华人民共和国预算法实施条例》《中华人民共和国各级人民代表大会常务委员会监督法》《新疆维吾尔自治区实施〈中华人民共和国各级人民代表大会常务委员会监督法〉办法》等法律法规，编制预算调整方案，提请会议审议和批准。</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outlineLvl w:val="0"/>
        <w:rPr>
          <w:rFonts w:hint="default" w:ascii="Times New Roman" w:hAnsi="Times New Roman" w:eastAsia="方正黑体_GBK" w:cs="方正黑体_GBK"/>
          <w:b w:val="0"/>
          <w:bCs w:val="0"/>
          <w:sz w:val="32"/>
          <w:szCs w:val="32"/>
          <w:highlight w:val="none"/>
          <w:lang w:val="en-US" w:eastAsia="zh-CN"/>
        </w:rPr>
      </w:pPr>
      <w:r>
        <w:rPr>
          <w:rFonts w:hint="eastAsia" w:ascii="Times New Roman" w:hAnsi="Times New Roman" w:eastAsia="方正黑体_GBK" w:cs="方正黑体_GBK"/>
          <w:b w:val="0"/>
          <w:bCs w:val="0"/>
          <w:sz w:val="32"/>
          <w:szCs w:val="32"/>
          <w:highlight w:val="none"/>
          <w:lang w:val="en-US" w:eastAsia="zh-CN"/>
        </w:rPr>
        <w:t>二、财政预算调整方案</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sz w:val="32"/>
          <w:szCs w:val="32"/>
          <w:highlight w:val="none"/>
          <w:lang w:val="en-US" w:eastAsia="zh-CN"/>
        </w:rPr>
      </w:pPr>
      <w:r>
        <w:rPr>
          <w:rFonts w:hint="eastAsia" w:ascii="Times New Roman" w:hAnsi="Times New Roman" w:eastAsia="方正楷体_GBK" w:cs="方正楷体_GBK"/>
          <w:b/>
          <w:bCs w:val="0"/>
          <w:sz w:val="32"/>
          <w:szCs w:val="32"/>
          <w:highlight w:val="none"/>
          <w:lang w:val="en-US" w:eastAsia="zh-CN"/>
        </w:rPr>
        <w:t>（一）一般公共预算调整情况</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outlineLvl w:val="2"/>
        <w:rPr>
          <w:rFonts w:hint="eastAsia" w:ascii="Times New Roman" w:hAnsi="Times New Roman" w:eastAsia="方正楷体简体"/>
          <w:b/>
          <w:color w:val="auto"/>
          <w:sz w:val="32"/>
          <w:szCs w:val="32"/>
          <w:highlight w:val="none"/>
          <w:lang w:val="en-US" w:eastAsia="zh-CN"/>
        </w:rPr>
      </w:pPr>
      <w:r>
        <w:rPr>
          <w:rFonts w:hint="eastAsia" w:ascii="Times New Roman" w:hAnsi="Times New Roman" w:eastAsia="方正仿宋_GBK" w:cs="方正仿宋_GBK"/>
          <w:b/>
          <w:color w:val="auto"/>
          <w:sz w:val="32"/>
          <w:szCs w:val="32"/>
          <w:highlight w:val="none"/>
          <w:lang w:val="en-US" w:eastAsia="zh-CN"/>
        </w:rPr>
        <w:t>（1）一般公共预算收入调整情况</w:t>
      </w:r>
    </w:p>
    <w:p>
      <w:pPr>
        <w:keepNext w:val="0"/>
        <w:keepLines w:val="0"/>
        <w:pageBreakBefore w:val="0"/>
        <w:widowControl w:val="0"/>
        <w:kinsoku/>
        <w:overflowPunct/>
        <w:topLinePunct w:val="0"/>
        <w:autoSpaceDN/>
        <w:bidi w:val="0"/>
        <w:adjustRightInd/>
        <w:snapToGrid/>
        <w:spacing w:line="620" w:lineRule="atLeast"/>
        <w:jc w:val="both"/>
        <w:textAlignment w:val="auto"/>
        <w:rPr>
          <w:rFonts w:hint="eastAsia" w:ascii="Times New Roman" w:hAnsi="Times New Roman" w:eastAsia="方正仿宋_GBK" w:cs="方正仿宋_GBK"/>
          <w:color w:val="0070C0"/>
          <w:kern w:val="2"/>
          <w:sz w:val="32"/>
          <w:szCs w:val="32"/>
          <w:highlight w:val="none"/>
          <w:lang w:val="en-US" w:eastAsia="zh-CN" w:bidi="ar-SA"/>
        </w:rPr>
      </w:pPr>
      <w:r>
        <w:rPr>
          <w:rFonts w:hint="eastAsia" w:ascii="Times New Roman" w:hAnsi="Times New Roman" w:eastAsia="方正仿宋简体" w:cstheme="minorBidi"/>
          <w:color w:val="auto"/>
          <w:kern w:val="2"/>
          <w:sz w:val="32"/>
          <w:szCs w:val="32"/>
          <w:highlight w:val="none"/>
          <w:lang w:val="en-US" w:eastAsia="zh-CN" w:bidi="ar-SA"/>
        </w:rPr>
        <w:t xml:space="preserve">    </w:t>
      </w: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w:t>
      </w:r>
      <w:r>
        <w:rPr>
          <w:rFonts w:hint="eastAsia" w:ascii="Times New Roman" w:hAnsi="Times New Roman" w:eastAsia="方正仿宋_GBK" w:cs="方正仿宋_GBK"/>
          <w:color w:val="auto"/>
          <w:spacing w:val="-6"/>
          <w:kern w:val="2"/>
          <w:sz w:val="32"/>
          <w:szCs w:val="32"/>
          <w:highlight w:val="none"/>
          <w:lang w:val="en-US" w:eastAsia="zh-CN" w:bidi="ar-SA"/>
        </w:rPr>
        <w:t>第六次会议</w:t>
      </w:r>
      <w:r>
        <w:rPr>
          <w:rFonts w:hint="eastAsia" w:ascii="Times New Roman" w:hAnsi="Times New Roman" w:eastAsia="方正仿宋_GBK" w:cs="方正仿宋_GBK"/>
          <w:spacing w:val="-6"/>
          <w:kern w:val="2"/>
          <w:sz w:val="32"/>
          <w:szCs w:val="32"/>
          <w:highlight w:val="none"/>
          <w:lang w:val="en-US" w:eastAsia="zh-CN" w:bidi="ar-SA"/>
        </w:rPr>
        <w:t>批准，莎车县</w:t>
      </w:r>
      <w:r>
        <w:rPr>
          <w:rFonts w:hint="eastAsia" w:ascii="Times New Roman" w:hAnsi="Times New Roman" w:eastAsia="方正仿宋_GBK" w:cs="方正仿宋_GBK"/>
          <w:color w:val="auto"/>
          <w:spacing w:val="-6"/>
          <w:kern w:val="2"/>
          <w:sz w:val="32"/>
          <w:szCs w:val="32"/>
          <w:highlight w:val="none"/>
          <w:lang w:val="en-US" w:eastAsia="zh-CN" w:bidi="ar-SA"/>
        </w:rPr>
        <w:t>2026年一般公共预算总收入为</w:t>
      </w:r>
      <w:r>
        <w:rPr>
          <w:rFonts w:hint="eastAsia" w:ascii="Times New Roman" w:hAnsi="Times New Roman" w:eastAsia="方正仿宋_GBK" w:cs="方正仿宋_GBK"/>
          <w:color w:val="auto"/>
          <w:kern w:val="2"/>
          <w:sz w:val="32"/>
          <w:szCs w:val="32"/>
          <w:highlight w:val="none"/>
          <w:lang w:val="en-US" w:eastAsia="zh-CN" w:bidi="ar-SA"/>
        </w:rPr>
        <w:t>1195460万元，其中：</w:t>
      </w:r>
      <w:bookmarkStart w:id="0" w:name="OLE_LINK4"/>
      <w:r>
        <w:rPr>
          <w:rFonts w:hint="eastAsia" w:ascii="Times New Roman" w:hAnsi="Times New Roman" w:eastAsia="方正仿宋_GBK" w:cs="方正仿宋_GBK"/>
          <w:color w:val="auto"/>
          <w:kern w:val="2"/>
          <w:sz w:val="32"/>
          <w:szCs w:val="32"/>
          <w:highlight w:val="none"/>
          <w:lang w:val="en-US" w:eastAsia="zh-CN" w:bidi="ar-SA"/>
        </w:rPr>
        <w:t>一般公共预算收入84894万元（</w:t>
      </w:r>
      <w:r>
        <w:rPr>
          <w:rFonts w:hint="eastAsia" w:ascii="Times New Roman" w:hAnsi="Times New Roman" w:eastAsia="方正仿宋_GBK" w:cs="方正仿宋_GBK"/>
          <w:sz w:val="32"/>
          <w:szCs w:val="32"/>
          <w:highlight w:val="none"/>
          <w:lang w:val="en-US" w:eastAsia="zh-CN"/>
        </w:rPr>
        <w:t>收入</w:t>
      </w:r>
      <w:r>
        <w:rPr>
          <w:rFonts w:hint="eastAsia" w:eastAsia="方正仿宋_GBK" w:cs="方正仿宋_GBK"/>
          <w:sz w:val="32"/>
          <w:szCs w:val="32"/>
          <w:highlight w:val="none"/>
          <w:lang w:val="en-US" w:eastAsia="zh-CN"/>
        </w:rPr>
        <w:t>分享前</w:t>
      </w:r>
      <w:r>
        <w:rPr>
          <w:rFonts w:hint="eastAsia" w:ascii="Times New Roman" w:hAnsi="Times New Roman" w:eastAsia="方正仿宋_GBK" w:cs="方正仿宋_GBK"/>
          <w:color w:val="auto"/>
          <w:kern w:val="2"/>
          <w:sz w:val="32"/>
          <w:szCs w:val="32"/>
          <w:highlight w:val="none"/>
          <w:lang w:val="en-US" w:eastAsia="zh-CN" w:bidi="ar-SA"/>
        </w:rPr>
        <w:t>120332</w:t>
      </w:r>
      <w:r>
        <w:rPr>
          <w:rFonts w:hint="eastAsia" w:eastAsia="方正仿宋_GBK" w:cs="方正仿宋_GBK"/>
          <w:sz w:val="32"/>
          <w:szCs w:val="32"/>
          <w:highlight w:val="none"/>
          <w:lang w:val="en-US" w:eastAsia="zh-CN"/>
        </w:rPr>
        <w:t>万元</w:t>
      </w:r>
      <w:r>
        <w:rPr>
          <w:rFonts w:hint="eastAsia" w:ascii="Times New Roman" w:hAnsi="Times New Roman" w:eastAsia="方正仿宋_GBK" w:cs="方正仿宋_GBK"/>
          <w:color w:val="auto"/>
          <w:kern w:val="2"/>
          <w:sz w:val="32"/>
          <w:szCs w:val="32"/>
          <w:highlight w:val="none"/>
          <w:lang w:val="en-US" w:eastAsia="zh-CN" w:bidi="ar-SA"/>
        </w:rPr>
        <w:t>）</w:t>
      </w:r>
      <w:bookmarkEnd w:id="0"/>
      <w:r>
        <w:rPr>
          <w:rFonts w:hint="eastAsia" w:ascii="Times New Roman" w:hAnsi="Times New Roman" w:eastAsia="方正仿宋_GBK" w:cs="方正仿宋_GBK"/>
          <w:color w:val="auto"/>
          <w:kern w:val="2"/>
          <w:sz w:val="32"/>
          <w:szCs w:val="32"/>
          <w:highlight w:val="none"/>
          <w:lang w:val="en-US" w:eastAsia="zh-CN" w:bidi="ar-SA"/>
        </w:rPr>
        <w:t>，上级转移支付补助收入904846万元，上年结转专项 155850万元，调入资金36000万元，动用预算稳定调节基金13870万元。</w:t>
      </w:r>
    </w:p>
    <w:p>
      <w:pPr>
        <w:pStyle w:val="16"/>
        <w:keepNext w:val="0"/>
        <w:keepLines w:val="0"/>
        <w:pageBreakBefore w:val="0"/>
        <w:kinsoku/>
        <w:wordWrap/>
        <w:overflowPunct/>
        <w:topLinePunct w:val="0"/>
        <w:autoSpaceDE/>
        <w:autoSpaceDN/>
        <w:bidi w:val="0"/>
        <w:adjustRightInd/>
        <w:snapToGrid/>
        <w:spacing w:before="0" w:after="0" w:line="620" w:lineRule="atLeast"/>
        <w:ind w:right="0" w:firstLine="640"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val="0"/>
          <w:bCs w:val="0"/>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rPr>
        <w:t xml:space="preserve">调整为  </w:t>
      </w:r>
      <w:r>
        <w:rPr>
          <w:rFonts w:hint="eastAsia" w:ascii="Times New Roman" w:hAnsi="Times New Roman" w:eastAsia="方正仿宋_GBK" w:cs="方正仿宋_GBK"/>
          <w:color w:val="auto"/>
          <w:sz w:val="32"/>
          <w:szCs w:val="32"/>
          <w:highlight w:val="none"/>
          <w:lang w:val="en-US" w:eastAsia="zh-CN"/>
        </w:rPr>
        <w:t>1194624万</w:t>
      </w:r>
      <w:r>
        <w:rPr>
          <w:rFonts w:hint="eastAsia" w:ascii="Times New Roman" w:hAnsi="Times New Roman" w:eastAsia="方正仿宋_GBK" w:cs="方正仿宋_GBK"/>
          <w:color w:val="auto"/>
          <w:sz w:val="32"/>
          <w:szCs w:val="32"/>
          <w:highlight w:val="none"/>
        </w:rPr>
        <w:t>元，其中：</w:t>
      </w:r>
      <w:r>
        <w:rPr>
          <w:rFonts w:hint="eastAsia" w:ascii="Times New Roman" w:hAnsi="Times New Roman" w:eastAsia="方正仿宋_GBK" w:cs="方正仿宋_GBK"/>
          <w:color w:val="auto"/>
          <w:sz w:val="32"/>
          <w:szCs w:val="32"/>
          <w:highlight w:val="none"/>
          <w:lang w:val="en-US" w:eastAsia="zh-CN"/>
        </w:rPr>
        <w:t>一般公共预算收入</w:t>
      </w:r>
      <w:r>
        <w:rPr>
          <w:rFonts w:hint="eastAsia" w:ascii="Times New Roman" w:hAnsi="Times New Roman" w:eastAsia="方正仿宋_GBK" w:cs="方正仿宋_GBK"/>
          <w:color w:val="auto"/>
          <w:kern w:val="2"/>
          <w:sz w:val="32"/>
          <w:szCs w:val="32"/>
          <w:highlight w:val="none"/>
          <w:lang w:val="en-US" w:eastAsia="zh-CN" w:bidi="ar-SA"/>
        </w:rPr>
        <w:t>84894</w:t>
      </w:r>
      <w:r>
        <w:rPr>
          <w:rFonts w:hint="eastAsia" w:ascii="Times New Roman" w:hAnsi="Times New Roman" w:eastAsia="方正仿宋_GBK" w:cs="方正仿宋_GBK"/>
          <w:color w:val="auto"/>
          <w:sz w:val="32"/>
          <w:szCs w:val="32"/>
          <w:highlight w:val="none"/>
          <w:lang w:val="en-US" w:eastAsia="zh-CN"/>
        </w:rPr>
        <w:t>万元</w:t>
      </w:r>
      <w:r>
        <w:rPr>
          <w:rFonts w:hint="eastAsia" w:ascii="Times New Roman" w:hAnsi="Times New Roman" w:eastAsia="方正仿宋_GBK" w:cs="方正仿宋_GBK"/>
          <w:color w:val="auto"/>
          <w:kern w:val="2"/>
          <w:sz w:val="32"/>
          <w:szCs w:val="32"/>
          <w:highlight w:val="none"/>
          <w:lang w:val="en-US" w:eastAsia="zh-CN" w:bidi="ar-SA"/>
        </w:rPr>
        <w:t>（</w:t>
      </w:r>
      <w:r>
        <w:rPr>
          <w:rFonts w:hint="eastAsia" w:ascii="Times New Roman" w:hAnsi="Times New Roman" w:eastAsia="方正仿宋_GBK" w:cs="方正仿宋_GBK"/>
          <w:sz w:val="32"/>
          <w:szCs w:val="32"/>
          <w:highlight w:val="none"/>
          <w:lang w:val="en-US" w:eastAsia="zh-CN"/>
        </w:rPr>
        <w:t>收入</w:t>
      </w:r>
      <w:r>
        <w:rPr>
          <w:rFonts w:hint="eastAsia" w:eastAsia="方正仿宋_GBK" w:cs="方正仿宋_GBK"/>
          <w:sz w:val="32"/>
          <w:szCs w:val="32"/>
          <w:highlight w:val="none"/>
          <w:lang w:val="en-US" w:eastAsia="zh-CN"/>
        </w:rPr>
        <w:t>分享前120332万元</w:t>
      </w:r>
      <w:r>
        <w:rPr>
          <w:rFonts w:hint="eastAsia" w:ascii="Times New Roman" w:hAnsi="Times New Roman" w:eastAsia="方正仿宋_GBK" w:cs="方正仿宋_GBK"/>
          <w:color w:val="auto"/>
          <w:kern w:val="2"/>
          <w:sz w:val="32"/>
          <w:szCs w:val="32"/>
          <w:highlight w:val="none"/>
          <w:lang w:val="en-US" w:eastAsia="zh-CN" w:bidi="ar-SA"/>
        </w:rPr>
        <w:t>）</w:t>
      </w:r>
      <w:r>
        <w:rPr>
          <w:rFonts w:hint="eastAsia" w:ascii="Times New Roman" w:hAnsi="Times New Roman" w:eastAsia="方正仿宋_GBK" w:cs="方正仿宋_GBK"/>
          <w:color w:val="auto"/>
          <w:sz w:val="32"/>
          <w:szCs w:val="32"/>
          <w:highlight w:val="none"/>
          <w:lang w:val="en-US" w:eastAsia="zh-CN"/>
        </w:rPr>
        <w:t>，</w:t>
      </w:r>
      <w:r>
        <w:rPr>
          <w:rFonts w:hint="eastAsia" w:ascii="Times New Roman" w:hAnsi="Times New Roman" w:eastAsia="方正仿宋_GBK" w:cs="方正仿宋_GBK"/>
          <w:color w:val="auto"/>
          <w:kern w:val="2"/>
          <w:sz w:val="32"/>
          <w:szCs w:val="32"/>
          <w:highlight w:val="none"/>
          <w:lang w:val="en-US" w:eastAsia="zh-CN" w:bidi="ar-SA"/>
        </w:rPr>
        <w:t>上级转移支付补助收入917810万元，上年结转专项155850万元，调入资金16900万元，一般债券转贷收入5300万元，动用预算稳定调节基金13870万元。</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lang w:val="en-US" w:eastAsia="zh-CN"/>
        </w:rPr>
        <w:t>调减836万元，其中：</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1.上级下达莎车县驻村工作专项经费、</w:t>
      </w:r>
      <w:r>
        <w:rPr>
          <w:rFonts w:hint="eastAsia" w:ascii="Times New Roman" w:hAnsi="Times New Roman" w:eastAsia="方正仿宋_GBK" w:cs="方正仿宋_GBK"/>
          <w:b w:val="0"/>
          <w:bCs w:val="0"/>
          <w:color w:val="auto"/>
          <w:kern w:val="2"/>
          <w:sz w:val="32"/>
          <w:szCs w:val="32"/>
          <w:highlight w:val="none"/>
          <w:lang w:val="en-US" w:eastAsia="zh-CN" w:bidi="ar-SA"/>
        </w:rPr>
        <w:t>交通运输领域超长期特别国债、育儿补贴、中央财政过渡期前医务人员临时性工作补助资金、“保险+期货”业务奖补资金、中央自然灾害救灾资金、农业保险保费补贴等上级</w:t>
      </w:r>
      <w:r>
        <w:rPr>
          <w:rFonts w:hint="eastAsia" w:ascii="Times New Roman" w:hAnsi="Times New Roman" w:eastAsia="方正仿宋_GBK" w:cs="方正仿宋_GBK"/>
          <w:color w:val="auto"/>
          <w:kern w:val="2"/>
          <w:sz w:val="32"/>
          <w:szCs w:val="32"/>
          <w:highlight w:val="none"/>
          <w:lang w:val="en-US" w:eastAsia="zh-CN" w:bidi="ar-SA"/>
        </w:rPr>
        <w:t>专项资金增加12964万元。</w:t>
      </w:r>
    </w:p>
    <w:p>
      <w:pPr>
        <w:keepNext w:val="0"/>
        <w:keepLines w:val="0"/>
        <w:pageBreakBefore w:val="0"/>
        <w:widowControl/>
        <w:suppressLineNumbers w:val="0"/>
        <w:kinsoku/>
        <w:wordWrap w:val="0"/>
        <w:overflowPunct/>
        <w:topLinePunct w:val="0"/>
        <w:autoSpaceDE w:val="0"/>
        <w:autoSpaceDN/>
        <w:bidi w:val="0"/>
        <w:adjustRightInd/>
        <w:snapToGrid/>
        <w:spacing w:beforeAutospacing="0" w:afterAutospacing="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2.根据自治区财政厅《关于进一步规范调入资金事项的通知》文件要求，减少从政府性基金预算调入一般公共预算资金 19100万元。</w:t>
      </w:r>
    </w:p>
    <w:p>
      <w:pPr>
        <w:keepNext w:val="0"/>
        <w:keepLines w:val="0"/>
        <w:pageBreakBefore w:val="0"/>
        <w:widowControl/>
        <w:suppressLineNumbers w:val="0"/>
        <w:kinsoku/>
        <w:wordWrap w:val="0"/>
        <w:overflowPunct/>
        <w:topLinePunct w:val="0"/>
        <w:autoSpaceDE w:val="0"/>
        <w:autoSpaceDN/>
        <w:bidi w:val="0"/>
        <w:adjustRightInd/>
        <w:snapToGrid/>
        <w:spacing w:beforeAutospacing="0" w:afterAutospacing="0" w:line="620" w:lineRule="atLeast"/>
        <w:ind w:left="0" w:right="0" w:firstLine="640" w:firstLineChars="200"/>
        <w:jc w:val="both"/>
        <w:textAlignment w:val="auto"/>
        <w:rPr>
          <w:rFonts w:hint="default" w:ascii="Times New Roman" w:hAnsi="Times New Roman" w:eastAsia="方正仿宋_GBK" w:cs="方正仿宋_GBK"/>
          <w:color w:val="auto"/>
          <w:kern w:val="2"/>
          <w:sz w:val="32"/>
          <w:szCs w:val="32"/>
          <w:highlight w:val="none"/>
          <w:lang w:val="en-US" w:eastAsia="zh-CN" w:bidi="ar-SA"/>
        </w:rPr>
      </w:pPr>
      <w:bookmarkStart w:id="1" w:name="OLE_LINK5"/>
      <w:r>
        <w:rPr>
          <w:rFonts w:hint="eastAsia" w:ascii="Times New Roman" w:hAnsi="Times New Roman" w:eastAsia="方正仿宋_GBK" w:cs="方正仿宋_GBK"/>
          <w:color w:val="auto"/>
          <w:kern w:val="2"/>
          <w:sz w:val="32"/>
          <w:szCs w:val="32"/>
          <w:highlight w:val="none"/>
          <w:lang w:val="en-US" w:eastAsia="zh-CN" w:bidi="ar-SA"/>
        </w:rPr>
        <w:t>3.上级下达再融资一般债券5300万元，用于一般债券到期本金。</w:t>
      </w:r>
    </w:p>
    <w:bookmarkEnd w:id="1"/>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eastAsia="zh-CN"/>
        </w:rPr>
        <w:t>（</w:t>
      </w:r>
      <w:r>
        <w:rPr>
          <w:rFonts w:hint="eastAsia" w:ascii="Times New Roman" w:hAnsi="Times New Roman" w:eastAsia="方正仿宋_GBK" w:cs="方正仿宋_GBK"/>
          <w:b/>
          <w:color w:val="auto"/>
          <w:sz w:val="32"/>
          <w:szCs w:val="32"/>
          <w:highlight w:val="none"/>
          <w:lang w:val="en-US" w:eastAsia="zh-CN"/>
        </w:rPr>
        <w:t>2</w:t>
      </w:r>
      <w:r>
        <w:rPr>
          <w:rFonts w:hint="eastAsia" w:ascii="Times New Roman" w:hAnsi="Times New Roman" w:eastAsia="方正仿宋_GBK" w:cs="方正仿宋_GBK"/>
          <w:b/>
          <w:color w:val="auto"/>
          <w:sz w:val="32"/>
          <w:szCs w:val="32"/>
          <w:highlight w:val="none"/>
          <w:lang w:eastAsia="zh-CN"/>
        </w:rPr>
        <w:t>）</w:t>
      </w:r>
      <w:r>
        <w:rPr>
          <w:rFonts w:hint="eastAsia" w:ascii="Times New Roman" w:hAnsi="Times New Roman" w:eastAsia="方正仿宋_GBK" w:cs="方正仿宋_GBK"/>
          <w:b/>
          <w:color w:val="auto"/>
          <w:sz w:val="32"/>
          <w:szCs w:val="32"/>
          <w:highlight w:val="none"/>
        </w:rPr>
        <w:t>一般公共预算支出调整情况</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0" w:firstLineChars="200"/>
        <w:jc w:val="both"/>
        <w:textAlignment w:val="auto"/>
        <w:rPr>
          <w:rFonts w:hint="eastAsia" w:ascii="Times New Roman" w:hAnsi="Times New Roman" w:eastAsia="方正仿宋_GBK" w:cs="方正仿宋_GBK"/>
          <w:color w:val="auto"/>
          <w:kern w:val="2"/>
          <w:sz w:val="32"/>
          <w:szCs w:val="32"/>
          <w:highlight w:val="none"/>
          <w:lang w:val="en-US" w:eastAsia="zh-CN" w:bidi="ar-SA"/>
        </w:rPr>
      </w:pP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kern w:val="2"/>
          <w:sz w:val="32"/>
          <w:szCs w:val="32"/>
          <w:highlight w:val="none"/>
          <w:lang w:val="en-US" w:eastAsia="zh-CN" w:bidi="ar-SA"/>
        </w:rPr>
        <w:t>莎车县2026年</w:t>
      </w:r>
      <w:r>
        <w:rPr>
          <w:rFonts w:hint="eastAsia" w:ascii="Times New Roman" w:hAnsi="Times New Roman" w:eastAsia="方正仿宋_GBK" w:cs="方正仿宋_GBK"/>
          <w:color w:val="auto"/>
          <w:sz w:val="32"/>
          <w:szCs w:val="32"/>
          <w:highlight w:val="none"/>
        </w:rPr>
        <w:t>一般公共预算</w:t>
      </w:r>
      <w:r>
        <w:rPr>
          <w:rFonts w:hint="eastAsia" w:ascii="Times New Roman" w:hAnsi="Times New Roman" w:eastAsia="方正仿宋_GBK" w:cs="方正仿宋_GBK"/>
          <w:color w:val="auto"/>
          <w:sz w:val="32"/>
          <w:szCs w:val="32"/>
          <w:highlight w:val="none"/>
          <w:lang w:eastAsia="zh-CN"/>
        </w:rPr>
        <w:t>总</w:t>
      </w:r>
      <w:r>
        <w:rPr>
          <w:rFonts w:hint="eastAsia" w:ascii="Times New Roman" w:hAnsi="Times New Roman" w:eastAsia="方正仿宋_GBK" w:cs="方正仿宋_GBK"/>
          <w:color w:val="auto"/>
          <w:sz w:val="32"/>
          <w:szCs w:val="32"/>
          <w:highlight w:val="none"/>
        </w:rPr>
        <w:t>支出</w:t>
      </w:r>
      <w:r>
        <w:rPr>
          <w:rFonts w:hint="eastAsia" w:ascii="Times New Roman" w:hAnsi="Times New Roman" w:eastAsia="方正仿宋_GBK" w:cs="方正仿宋_GBK"/>
          <w:color w:val="auto"/>
          <w:sz w:val="32"/>
          <w:szCs w:val="32"/>
          <w:highlight w:val="none"/>
          <w:lang w:eastAsia="zh-CN"/>
        </w:rPr>
        <w:t>为</w:t>
      </w:r>
      <w:r>
        <w:rPr>
          <w:rFonts w:hint="eastAsia" w:ascii="Times New Roman" w:hAnsi="Times New Roman" w:eastAsia="方正仿宋_GBK" w:cs="方正仿宋_GBK"/>
          <w:color w:val="auto"/>
          <w:sz w:val="32"/>
          <w:szCs w:val="32"/>
          <w:highlight w:val="none"/>
          <w:lang w:val="en-US" w:eastAsia="zh-CN"/>
        </w:rPr>
        <w:t>1195460</w:t>
      </w:r>
      <w:r>
        <w:rPr>
          <w:rFonts w:hint="eastAsia" w:ascii="Times New Roman" w:hAnsi="Times New Roman" w:eastAsia="方正仿宋_GBK" w:cs="方正仿宋_GBK"/>
          <w:color w:val="auto"/>
          <w:kern w:val="2"/>
          <w:sz w:val="32"/>
          <w:szCs w:val="32"/>
          <w:highlight w:val="none"/>
          <w:lang w:val="en-US" w:eastAsia="zh-CN" w:bidi="ar-SA"/>
        </w:rPr>
        <w:t>万元，其中：一般公共预算支出</w:t>
      </w:r>
      <w:r>
        <w:rPr>
          <w:rFonts w:hint="eastAsia" w:ascii="Times New Roman" w:hAnsi="Times New Roman" w:eastAsia="方正仿宋_GBK" w:cs="方正仿宋_GBK"/>
          <w:color w:val="auto"/>
          <w:sz w:val="32"/>
          <w:szCs w:val="32"/>
          <w:highlight w:val="none"/>
          <w:lang w:val="en-US" w:eastAsia="zh-CN"/>
        </w:rPr>
        <w:t>1178583</w:t>
      </w:r>
      <w:r>
        <w:rPr>
          <w:rFonts w:hint="eastAsia" w:ascii="Times New Roman" w:hAnsi="Times New Roman" w:eastAsia="方正仿宋_GBK" w:cs="方正仿宋_GBK"/>
          <w:color w:val="auto"/>
          <w:kern w:val="2"/>
          <w:sz w:val="32"/>
          <w:szCs w:val="32"/>
          <w:highlight w:val="none"/>
          <w:lang w:val="en-US" w:eastAsia="zh-CN" w:bidi="ar-SA"/>
        </w:rPr>
        <w:t>万元，上解支出</w:t>
      </w:r>
      <w:r>
        <w:rPr>
          <w:rFonts w:hint="eastAsia" w:ascii="Times New Roman" w:hAnsi="Times New Roman" w:eastAsia="方正仿宋_GBK" w:cs="方正仿宋_GBK"/>
          <w:color w:val="auto"/>
          <w:sz w:val="32"/>
          <w:szCs w:val="32"/>
          <w:highlight w:val="none"/>
          <w:lang w:val="en-US" w:eastAsia="zh-CN"/>
        </w:rPr>
        <w:t>1125</w:t>
      </w:r>
      <w:r>
        <w:rPr>
          <w:rFonts w:hint="eastAsia" w:ascii="Times New Roman" w:hAnsi="Times New Roman" w:eastAsia="方正仿宋_GBK" w:cs="方正仿宋_GBK"/>
          <w:color w:val="auto"/>
          <w:kern w:val="2"/>
          <w:sz w:val="32"/>
          <w:szCs w:val="32"/>
          <w:highlight w:val="none"/>
          <w:lang w:val="en-US" w:eastAsia="zh-CN" w:bidi="ar-SA"/>
        </w:rPr>
        <w:t>万元，一般债务还本支出15752万元。</w:t>
      </w:r>
    </w:p>
    <w:p>
      <w:pPr>
        <w:pStyle w:val="16"/>
        <w:keepNext w:val="0"/>
        <w:keepLines w:val="0"/>
        <w:pageBreakBefore w:val="0"/>
        <w:kinsoku/>
        <w:wordWrap/>
        <w:overflowPunct/>
        <w:topLinePunct w:val="0"/>
        <w:autoSpaceDE/>
        <w:autoSpaceDN/>
        <w:bidi w:val="0"/>
        <w:adjustRightInd/>
        <w:snapToGrid/>
        <w:spacing w:before="0" w:after="0" w:line="620" w:lineRule="atLeast"/>
        <w:ind w:right="0" w:firstLine="640"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一般公共预算总支出调整为</w:t>
      </w:r>
      <w:r>
        <w:rPr>
          <w:rFonts w:hint="eastAsia" w:ascii="Times New Roman" w:hAnsi="Times New Roman" w:eastAsia="方正仿宋_GBK" w:cs="方正仿宋_GBK"/>
          <w:color w:val="auto"/>
          <w:sz w:val="32"/>
          <w:szCs w:val="32"/>
          <w:highlight w:val="none"/>
          <w:lang w:val="en-US" w:eastAsia="zh-CN"/>
        </w:rPr>
        <w:t>1194624万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rPr>
        <w:t>其中：一般公共预算支出</w:t>
      </w:r>
      <w:r>
        <w:rPr>
          <w:rFonts w:hint="eastAsia" w:ascii="Times New Roman" w:hAnsi="Times New Roman" w:eastAsia="方正仿宋_GBK" w:cs="方正仿宋_GBK"/>
          <w:color w:val="auto"/>
          <w:sz w:val="32"/>
          <w:szCs w:val="32"/>
          <w:highlight w:val="none"/>
          <w:lang w:val="en-US" w:eastAsia="zh-CN"/>
        </w:rPr>
        <w:t>1186847万元</w:t>
      </w:r>
      <w:r>
        <w:rPr>
          <w:rFonts w:hint="eastAsia" w:ascii="Times New Roman" w:hAnsi="Times New Roman" w:eastAsia="方正仿宋_GBK" w:cs="方正仿宋_GBK"/>
          <w:color w:val="auto"/>
          <w:sz w:val="32"/>
          <w:szCs w:val="32"/>
          <w:highlight w:val="none"/>
        </w:rPr>
        <w:t>，上解支出</w:t>
      </w:r>
      <w:r>
        <w:rPr>
          <w:rFonts w:hint="eastAsia" w:ascii="Times New Roman" w:hAnsi="Times New Roman" w:eastAsia="方正仿宋_GBK" w:cs="方正仿宋_GBK"/>
          <w:color w:val="auto"/>
          <w:sz w:val="32"/>
          <w:szCs w:val="32"/>
          <w:highlight w:val="none"/>
          <w:lang w:val="en-US" w:eastAsia="zh-CN"/>
        </w:rPr>
        <w:t>1125万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val="en-US" w:eastAsia="zh-CN"/>
        </w:rPr>
        <w:t>一般</w:t>
      </w:r>
      <w:r>
        <w:rPr>
          <w:rFonts w:hint="eastAsia" w:ascii="Times New Roman" w:hAnsi="Times New Roman" w:eastAsia="方正仿宋_GBK" w:cs="方正仿宋_GBK"/>
          <w:color w:val="auto"/>
          <w:sz w:val="32"/>
          <w:szCs w:val="32"/>
          <w:highlight w:val="none"/>
        </w:rPr>
        <w:t>债务还本支出</w:t>
      </w:r>
      <w:r>
        <w:rPr>
          <w:rFonts w:hint="eastAsia" w:ascii="Times New Roman" w:hAnsi="Times New Roman" w:eastAsia="方正仿宋_GBK" w:cs="方正仿宋_GBK"/>
          <w:color w:val="auto"/>
          <w:sz w:val="32"/>
          <w:szCs w:val="32"/>
          <w:highlight w:val="none"/>
          <w:lang w:val="en-US" w:eastAsia="zh-CN"/>
        </w:rPr>
        <w:t>6652万元</w:t>
      </w:r>
      <w:r>
        <w:rPr>
          <w:rFonts w:hint="eastAsia" w:ascii="Times New Roman" w:hAnsi="Times New Roman" w:eastAsia="方正仿宋_GBK" w:cs="方正仿宋_GBK"/>
          <w:color w:val="auto"/>
          <w:sz w:val="32"/>
          <w:szCs w:val="32"/>
          <w:highlight w:val="none"/>
        </w:rPr>
        <w:t>。</w:t>
      </w:r>
    </w:p>
    <w:p>
      <w:pPr>
        <w:pStyle w:val="16"/>
        <w:keepNext w:val="0"/>
        <w:keepLines w:val="0"/>
        <w:pageBreakBefore w:val="0"/>
        <w:kinsoku/>
        <w:wordWrap/>
        <w:overflowPunct/>
        <w:topLinePunct w:val="0"/>
        <w:autoSpaceDE/>
        <w:autoSpaceDN/>
        <w:bidi w:val="0"/>
        <w:adjustRightInd/>
        <w:snapToGrid/>
        <w:spacing w:before="0" w:after="0" w:line="620" w:lineRule="atLeast"/>
        <w:ind w:left="0" w:right="0"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一般公共预算总支出</w:t>
      </w:r>
      <w:r>
        <w:rPr>
          <w:rFonts w:hint="eastAsia" w:ascii="Times New Roman" w:hAnsi="Times New Roman" w:eastAsia="方正仿宋_GBK" w:cs="方正仿宋_GBK"/>
          <w:color w:val="auto"/>
          <w:sz w:val="32"/>
          <w:szCs w:val="32"/>
          <w:highlight w:val="none"/>
          <w:lang w:eastAsia="zh-CN"/>
        </w:rPr>
        <w:t>调减</w:t>
      </w:r>
      <w:r>
        <w:rPr>
          <w:rFonts w:hint="eastAsia" w:ascii="Times New Roman" w:hAnsi="Times New Roman" w:eastAsia="方正仿宋_GBK" w:cs="方正仿宋_GBK"/>
          <w:color w:val="auto"/>
          <w:sz w:val="32"/>
          <w:szCs w:val="32"/>
          <w:highlight w:val="none"/>
          <w:lang w:val="en-US" w:eastAsia="zh-CN"/>
        </w:rPr>
        <w:t>836万元，其中：</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sz w:val="32"/>
          <w:szCs w:val="32"/>
          <w:highlight w:val="none"/>
          <w:lang w:val="en-US" w:eastAsia="zh-CN"/>
        </w:rPr>
        <w:t>1.上级追加莎车县上级转移支付资金12964万元、再融资债券5300万元。</w:t>
      </w:r>
      <w:r>
        <w:rPr>
          <w:rFonts w:hint="eastAsia" w:ascii="Times New Roman" w:hAnsi="Times New Roman" w:eastAsia="方正仿宋_GBK" w:cs="方正仿宋_GBK"/>
          <w:b w:val="0"/>
          <w:bCs w:val="0"/>
          <w:color w:val="auto"/>
          <w:sz w:val="32"/>
          <w:szCs w:val="32"/>
          <w:highlight w:val="none"/>
        </w:rPr>
        <w:t>根据</w:t>
      </w:r>
      <w:r>
        <w:rPr>
          <w:rFonts w:hint="eastAsia" w:ascii="Times New Roman" w:hAnsi="Times New Roman" w:eastAsia="方正仿宋_GBK" w:cs="方正仿宋_GBK"/>
          <w:b w:val="0"/>
          <w:bCs w:val="0"/>
          <w:color w:val="auto"/>
          <w:sz w:val="32"/>
          <w:szCs w:val="32"/>
          <w:highlight w:val="none"/>
          <w:lang w:val="en-US" w:eastAsia="zh-CN"/>
        </w:rPr>
        <w:t>专项文件</w:t>
      </w:r>
      <w:r>
        <w:rPr>
          <w:rFonts w:hint="eastAsia" w:ascii="Times New Roman" w:hAnsi="Times New Roman" w:eastAsia="方正仿宋_GBK" w:cs="方正仿宋_GBK"/>
          <w:b w:val="0"/>
          <w:bCs w:val="0"/>
          <w:color w:val="auto"/>
          <w:sz w:val="32"/>
          <w:szCs w:val="32"/>
          <w:highlight w:val="none"/>
        </w:rPr>
        <w:t>，按照具体使用方向</w:t>
      </w:r>
      <w:r>
        <w:rPr>
          <w:rFonts w:hint="eastAsia" w:ascii="Times New Roman" w:hAnsi="Times New Roman" w:eastAsia="方正仿宋_GBK" w:cs="方正仿宋_GBK"/>
          <w:b w:val="0"/>
          <w:bCs w:val="0"/>
          <w:color w:val="auto"/>
          <w:sz w:val="32"/>
          <w:szCs w:val="32"/>
          <w:highlight w:val="none"/>
          <w:lang w:val="en-US" w:eastAsia="zh-CN"/>
        </w:rPr>
        <w:t>列入一般公共预算支出</w:t>
      </w:r>
      <w:r>
        <w:rPr>
          <w:rFonts w:hint="eastAsia" w:ascii="Times New Roman" w:hAnsi="Times New Roman" w:eastAsia="方正仿宋_GBK" w:cs="方正仿宋_GBK"/>
          <w:b w:val="0"/>
          <w:bCs w:val="0"/>
          <w:color w:val="auto"/>
          <w:sz w:val="32"/>
          <w:szCs w:val="32"/>
          <w:highlight w:val="none"/>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highlight w:val="none"/>
          <w:lang w:val="en-US" w:eastAsia="zh-CN"/>
        </w:rPr>
        <w:t>2</w:t>
      </w:r>
      <w:r>
        <w:rPr>
          <w:rFonts w:hint="eastAsia" w:ascii="Times New Roman" w:hAnsi="Times New Roman" w:eastAsia="方正仿宋_GBK" w:cs="方正仿宋_GBK"/>
          <w:b w:val="0"/>
          <w:bCs w:val="0"/>
          <w:color w:val="auto"/>
          <w:sz w:val="32"/>
          <w:szCs w:val="32"/>
          <w:highlight w:val="none"/>
        </w:rPr>
        <w:t>.</w:t>
      </w:r>
      <w:r>
        <w:rPr>
          <w:rFonts w:hint="eastAsia" w:ascii="Times New Roman" w:hAnsi="Times New Roman" w:eastAsia="方正仿宋_GBK" w:cs="方正仿宋_GBK"/>
          <w:color w:val="auto"/>
          <w:kern w:val="2"/>
          <w:sz w:val="32"/>
          <w:szCs w:val="32"/>
          <w:highlight w:val="none"/>
          <w:lang w:val="en-US" w:eastAsia="zh-CN" w:bidi="ar-SA"/>
        </w:rPr>
        <w:t>根据自治区财政厅《关于进一步规范调入资金事项的通知》文件要求，减少支出19100万元，主要是县级财力安排的编外人员支出减少4200万元，债务支出减少14900万元。减少的编外人员支出后期根据本级财力情况优先安排</w:t>
      </w:r>
      <w:r>
        <w:rPr>
          <w:rFonts w:hint="eastAsia" w:ascii="Times New Roman" w:hAnsi="Times New Roman" w:eastAsia="方正仿宋_GBK" w:cs="方正仿宋_GBK"/>
          <w:b w:val="0"/>
          <w:bCs w:val="0"/>
          <w:color w:val="auto"/>
          <w:sz w:val="32"/>
          <w:szCs w:val="32"/>
          <w:highlight w:val="none"/>
          <w:lang w:val="en-US" w:eastAsia="zh-CN"/>
        </w:rPr>
        <w:t>。</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（3）“三保”预算调整情况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根据自治区财政厅《关于印发&lt;自治区基层“三保”清单（2026年版）&gt;的通知》要求，对照保障清单，对“三保”预算安排进行调整，调整前预算数为718428万元，调整后的预算数为723547万元，具体情况如下：</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1.“保基本民生”预算数为238424万元，调整后预算数为194448万元，其中：教育类支出93548万元，卫生健康类支出85730万元，村级支出15170万元。</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2.“保工资”预算数为475459，调整后预算数为524554万元。主要是年度考核奖、南疆工作补贴纳入保工资保障清单。</w:t>
      </w:r>
    </w:p>
    <w:p>
      <w:pPr>
        <w:pageBreakBefore w:val="0"/>
        <w:widowControl w:val="0"/>
        <w:kinsoku/>
        <w:wordWrap/>
        <w:overflowPunct/>
        <w:topLinePunct w:val="0"/>
        <w:autoSpaceDE/>
        <w:autoSpaceDN/>
        <w:bidi w:val="0"/>
        <w:adjustRightInd/>
        <w:snapToGrid/>
        <w:spacing w:line="620" w:lineRule="atLeast"/>
        <w:ind w:firstLine="640" w:firstLineChars="200"/>
        <w:jc w:val="both"/>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3.“保运转”预算数为4545万元，不调整。</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（4）“三公”经费预算调整情况</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_GBK" w:cs="方正仿宋_GBK"/>
          <w:b w:val="0"/>
          <w:color w:val="auto"/>
          <w:kern w:val="2"/>
          <w:sz w:val="32"/>
          <w:szCs w:val="32"/>
          <w:highlight w:val="none"/>
          <w:lang w:val="en-US" w:eastAsia="zh-CN" w:bidi="ar-SA"/>
        </w:rPr>
      </w:pPr>
      <w:r>
        <w:rPr>
          <w:rFonts w:hint="eastAsia" w:ascii="Times New Roman" w:hAnsi="Times New Roman" w:eastAsia="方正仿宋_GBK" w:cs="方正仿宋_GBK"/>
          <w:b w:val="0"/>
          <w:color w:val="auto"/>
          <w:kern w:val="2"/>
          <w:sz w:val="32"/>
          <w:szCs w:val="32"/>
          <w:highlight w:val="none"/>
          <w:lang w:val="en-US" w:eastAsia="zh-CN" w:bidi="ar-SA"/>
        </w:rPr>
        <w:t>2026年1月经莎车县第十七届人民代表大会第六次会议批准的三公经费预算数为1190万元，其中：因公出国（境）费15万元，公务用车购置及运行费1040万元，公务接待费135万元。本次不调整。</w:t>
      </w:r>
    </w:p>
    <w:p>
      <w:pPr>
        <w:keepNext w:val="0"/>
        <w:keepLines w:val="0"/>
        <w:pageBreakBefore w:val="0"/>
        <w:numPr>
          <w:ilvl w:val="0"/>
          <w:numId w:val="0"/>
        </w:numPr>
        <w:kinsoku/>
        <w:wordWrap/>
        <w:overflowPunct/>
        <w:topLinePunct w:val="0"/>
        <w:autoSpaceDE/>
        <w:autoSpaceDN/>
        <w:bidi w:val="0"/>
        <w:adjustRightInd/>
        <w:snapToGrid/>
        <w:spacing w:line="620" w:lineRule="atLeast"/>
        <w:ind w:firstLine="643" w:firstLineChars="200"/>
        <w:jc w:val="both"/>
        <w:textAlignment w:val="auto"/>
        <w:outlineLvl w:val="2"/>
        <w:rPr>
          <w:rFonts w:hint="default" w:ascii="Times New Roman" w:hAnsi="Times New Roman" w:eastAsia="方正仿宋_GBK" w:cs="方正仿宋_GBK"/>
          <w:b/>
          <w:color w:val="auto"/>
          <w:kern w:val="2"/>
          <w:sz w:val="32"/>
          <w:szCs w:val="32"/>
          <w:highlight w:val="none"/>
          <w:lang w:val="en-US" w:eastAsia="zh-CN" w:bidi="ar-SA"/>
        </w:rPr>
      </w:pPr>
      <w:r>
        <w:rPr>
          <w:rFonts w:hint="eastAsia" w:ascii="Times New Roman" w:hAnsi="Times New Roman" w:eastAsia="方正仿宋_GBK" w:cs="方正仿宋_GBK"/>
          <w:b/>
          <w:color w:val="auto"/>
          <w:kern w:val="2"/>
          <w:sz w:val="32"/>
          <w:szCs w:val="32"/>
          <w:highlight w:val="none"/>
          <w:lang w:val="en-US" w:eastAsia="zh-CN" w:bidi="ar-SA"/>
        </w:rPr>
        <w:t>（5）盘活存量资金情况</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0" w:firstLineChars="200"/>
        <w:jc w:val="both"/>
        <w:textAlignment w:val="baseline"/>
        <w:rPr>
          <w:rFonts w:hint="eastAsia" w:ascii="Times New Roman" w:hAnsi="Times New Roman" w:eastAsia="方正仿宋简体" w:cs="Times New Roman"/>
          <w:b w:val="0"/>
          <w:bCs w:val="0"/>
          <w:color w:val="auto"/>
          <w:kern w:val="2"/>
          <w:sz w:val="32"/>
          <w:szCs w:val="32"/>
          <w:highlight w:val="none"/>
          <w:lang w:val="en-US" w:eastAsia="zh-CN" w:bidi="ar-SA"/>
        </w:rPr>
      </w:pPr>
      <w:r>
        <w:rPr>
          <w:rFonts w:hint="eastAsia" w:ascii="Times New Roman" w:hAnsi="Times New Roman" w:eastAsia="方正仿宋简体" w:cs="Times New Roman"/>
          <w:b w:val="0"/>
          <w:bCs w:val="0"/>
          <w:color w:val="auto"/>
          <w:kern w:val="2"/>
          <w:sz w:val="32"/>
          <w:szCs w:val="32"/>
          <w:highlight w:val="none"/>
          <w:lang w:val="en-US" w:eastAsia="zh-CN" w:bidi="ar-SA"/>
        </w:rPr>
        <w:t>目前</w:t>
      </w:r>
      <w:r>
        <w:rPr>
          <w:rFonts w:hint="default" w:ascii="Times New Roman" w:hAnsi="Times New Roman" w:eastAsia="方正仿宋简体" w:cs="Times New Roman"/>
          <w:b w:val="0"/>
          <w:bCs w:val="0"/>
          <w:color w:val="auto"/>
          <w:kern w:val="2"/>
          <w:sz w:val="32"/>
          <w:szCs w:val="32"/>
          <w:highlight w:val="none"/>
          <w:lang w:val="en-US" w:eastAsia="zh-CN" w:bidi="ar-SA"/>
        </w:rPr>
        <w:t>，各单位缴纳存量资金</w:t>
      </w:r>
      <w:r>
        <w:rPr>
          <w:rFonts w:hint="eastAsia" w:ascii="Times New Roman" w:hAnsi="Times New Roman" w:eastAsia="方正仿宋简体" w:cs="Times New Roman"/>
          <w:b w:val="0"/>
          <w:bCs w:val="0"/>
          <w:color w:val="auto"/>
          <w:kern w:val="2"/>
          <w:sz w:val="32"/>
          <w:szCs w:val="32"/>
          <w:highlight w:val="none"/>
          <w:lang w:val="en-US" w:eastAsia="zh-CN" w:bidi="ar-SA"/>
        </w:rPr>
        <w:t>8273</w:t>
      </w:r>
      <w:r>
        <w:rPr>
          <w:rFonts w:hint="default" w:ascii="Times New Roman" w:hAnsi="Times New Roman" w:eastAsia="方正仿宋简体" w:cs="Times New Roman"/>
          <w:b w:val="0"/>
          <w:bCs w:val="0"/>
          <w:color w:val="auto"/>
          <w:kern w:val="2"/>
          <w:sz w:val="32"/>
          <w:szCs w:val="32"/>
          <w:highlight w:val="none"/>
          <w:lang w:val="en-US" w:eastAsia="zh-CN" w:bidi="ar-SA"/>
        </w:rPr>
        <w:t>万元，</w:t>
      </w:r>
      <w:r>
        <w:rPr>
          <w:rFonts w:hint="eastAsia" w:ascii="Times New Roman" w:hAnsi="Times New Roman" w:eastAsia="方正仿宋简体" w:cs="Times New Roman"/>
          <w:b w:val="0"/>
          <w:bCs w:val="0"/>
          <w:color w:val="auto"/>
          <w:kern w:val="2"/>
          <w:sz w:val="32"/>
          <w:szCs w:val="32"/>
          <w:highlight w:val="none"/>
          <w:lang w:val="en-US" w:eastAsia="zh-CN" w:bidi="ar-SA"/>
        </w:rPr>
        <w:t>其中：</w:t>
      </w:r>
      <w:r>
        <w:rPr>
          <w:rFonts w:hint="default" w:ascii="Times New Roman" w:hAnsi="Times New Roman" w:eastAsia="方正仿宋简体" w:cs="Times New Roman"/>
          <w:b w:val="0"/>
          <w:bCs w:val="0"/>
          <w:color w:val="auto"/>
          <w:kern w:val="2"/>
          <w:sz w:val="32"/>
          <w:szCs w:val="32"/>
          <w:highlight w:val="none"/>
          <w:lang w:val="en-US" w:eastAsia="zh-CN" w:bidi="ar-SA"/>
        </w:rPr>
        <w:t>2025年</w:t>
      </w:r>
      <w:r>
        <w:rPr>
          <w:rFonts w:hint="eastAsia" w:ascii="Times New Roman" w:hAnsi="Times New Roman" w:eastAsia="方正仿宋简体" w:cs="Times New Roman"/>
          <w:b w:val="0"/>
          <w:bCs w:val="0"/>
          <w:color w:val="auto"/>
          <w:kern w:val="2"/>
          <w:sz w:val="32"/>
          <w:szCs w:val="32"/>
          <w:highlight w:val="none"/>
          <w:lang w:val="en-US" w:eastAsia="zh-CN" w:bidi="ar-SA"/>
        </w:rPr>
        <w:t>年末存量结余3408</w:t>
      </w:r>
      <w:r>
        <w:rPr>
          <w:rFonts w:hint="default" w:ascii="Times New Roman" w:hAnsi="Times New Roman" w:eastAsia="方正仿宋简体" w:cs="Times New Roman"/>
          <w:b w:val="0"/>
          <w:bCs w:val="0"/>
          <w:color w:val="auto"/>
          <w:kern w:val="2"/>
          <w:sz w:val="32"/>
          <w:szCs w:val="32"/>
          <w:highlight w:val="none"/>
          <w:lang w:val="en-US" w:eastAsia="zh-CN" w:bidi="ar-SA"/>
        </w:rPr>
        <w:t>万元，2026年</w:t>
      </w:r>
      <w:r>
        <w:rPr>
          <w:rFonts w:hint="eastAsia" w:ascii="Times New Roman" w:hAnsi="Times New Roman" w:eastAsia="方正仿宋简体" w:cs="Times New Roman"/>
          <w:b w:val="0"/>
          <w:bCs w:val="0"/>
          <w:color w:val="auto"/>
          <w:kern w:val="2"/>
          <w:sz w:val="32"/>
          <w:szCs w:val="32"/>
          <w:highlight w:val="none"/>
          <w:lang w:val="en-US" w:eastAsia="zh-CN" w:bidi="ar-SA"/>
        </w:rPr>
        <w:t>预算执行中单位缴纳存量资金4865</w:t>
      </w:r>
      <w:r>
        <w:rPr>
          <w:rFonts w:hint="default" w:ascii="Times New Roman" w:hAnsi="Times New Roman" w:eastAsia="方正仿宋简体" w:cs="Times New Roman"/>
          <w:b w:val="0"/>
          <w:bCs w:val="0"/>
          <w:color w:val="auto"/>
          <w:kern w:val="2"/>
          <w:sz w:val="32"/>
          <w:szCs w:val="32"/>
          <w:highlight w:val="none"/>
          <w:lang w:val="en-US" w:eastAsia="zh-CN" w:bidi="ar-SA"/>
        </w:rPr>
        <w:t>万元。</w:t>
      </w:r>
      <w:r>
        <w:rPr>
          <w:rFonts w:hint="eastAsia" w:ascii="Times New Roman" w:hAnsi="Times New Roman" w:eastAsia="方正仿宋简体" w:cs="Times New Roman"/>
          <w:b w:val="0"/>
          <w:bCs w:val="0"/>
          <w:color w:val="auto"/>
          <w:kern w:val="2"/>
          <w:sz w:val="32"/>
          <w:szCs w:val="32"/>
          <w:highlight w:val="none"/>
          <w:lang w:val="en-US" w:eastAsia="zh-CN" w:bidi="ar-SA"/>
        </w:rPr>
        <w:t>财政部门将按照预算管理相关政策规定，将上述资金统筹用于经济社会发展急需资金支持的领域。</w:t>
      </w:r>
    </w:p>
    <w:p>
      <w:pPr>
        <w:pStyle w:val="2"/>
        <w:keepNext/>
        <w:keepLines/>
        <w:pageBreakBefore w:val="0"/>
        <w:widowControl w:val="0"/>
        <w:kinsoku/>
        <w:wordWrap/>
        <w:overflowPunct/>
        <w:topLinePunct w:val="0"/>
        <w:autoSpaceDE/>
        <w:autoSpaceDN/>
        <w:bidi w:val="0"/>
        <w:adjustRightInd/>
        <w:snapToGrid/>
        <w:spacing w:before="0" w:after="0" w:line="620" w:lineRule="atLeast"/>
        <w:ind w:firstLine="643" w:firstLineChars="200"/>
        <w:jc w:val="both"/>
        <w:textAlignment w:val="baseline"/>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val="en-US" w:eastAsia="zh-CN"/>
        </w:rPr>
        <w:t>二</w:t>
      </w:r>
      <w:r>
        <w:rPr>
          <w:rFonts w:hint="eastAsia" w:ascii="Times New Roman" w:hAnsi="Times New Roman" w:eastAsia="方正楷体_GBK" w:cs="方正楷体_GBK"/>
          <w:b/>
          <w:bCs w:val="0"/>
          <w:color w:val="auto"/>
          <w:sz w:val="32"/>
          <w:szCs w:val="32"/>
          <w:highlight w:val="none"/>
        </w:rPr>
        <w:t>）政府性基金预算调整情况</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val="en-US" w:eastAsia="zh-CN"/>
        </w:rPr>
        <w:t>（1）</w:t>
      </w:r>
      <w:r>
        <w:rPr>
          <w:rFonts w:hint="eastAsia" w:ascii="Times New Roman" w:hAnsi="Times New Roman" w:eastAsia="方正仿宋_GBK" w:cs="方正仿宋_GBK"/>
          <w:b/>
          <w:color w:val="auto"/>
          <w:sz w:val="32"/>
          <w:szCs w:val="32"/>
          <w:highlight w:val="none"/>
        </w:rPr>
        <w:t>政府性基金</w:t>
      </w:r>
      <w:r>
        <w:rPr>
          <w:rFonts w:hint="eastAsia" w:ascii="Times New Roman" w:hAnsi="Times New Roman" w:eastAsia="方正仿宋_GBK" w:cs="方正仿宋_GBK"/>
          <w:b/>
          <w:color w:val="auto"/>
          <w:sz w:val="32"/>
          <w:szCs w:val="32"/>
          <w:highlight w:val="none"/>
          <w:lang w:eastAsia="zh-CN"/>
        </w:rPr>
        <w:t>收入</w:t>
      </w:r>
      <w:r>
        <w:rPr>
          <w:rFonts w:hint="eastAsia" w:ascii="Times New Roman" w:hAnsi="Times New Roman" w:eastAsia="方正仿宋_GBK" w:cs="方正仿宋_GBK"/>
          <w:b/>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color w:val="auto"/>
          <w:kern w:val="2"/>
          <w:sz w:val="32"/>
          <w:szCs w:val="32"/>
          <w:highlight w:val="none"/>
          <w:lang w:val="en-US" w:eastAsia="zh-CN" w:bidi="ar-SA"/>
        </w:rPr>
        <w:t>预算批复情况：2026年1月经莎车县第十七届人民代表大会第六次会议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lang w:eastAsia="zh-CN"/>
        </w:rPr>
        <w:t>总收入为</w:t>
      </w:r>
      <w:r>
        <w:rPr>
          <w:rFonts w:hint="eastAsia" w:ascii="Times New Roman" w:hAnsi="Times New Roman" w:eastAsia="方正仿宋_GBK" w:cs="方正仿宋_GBK"/>
          <w:color w:val="auto"/>
          <w:sz w:val="32"/>
          <w:szCs w:val="32"/>
          <w:highlight w:val="none"/>
          <w:lang w:val="en-US" w:eastAsia="zh-CN"/>
        </w:rPr>
        <w:t>135584万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b w:val="0"/>
          <w:bCs w:val="0"/>
          <w:color w:val="auto"/>
          <w:kern w:val="2"/>
          <w:sz w:val="32"/>
          <w:szCs w:val="32"/>
          <w:highlight w:val="none"/>
          <w:lang w:val="en-US" w:eastAsia="zh-CN" w:bidi="ar-SA"/>
        </w:rPr>
        <w:t>，其中：政府性基金收入66158万元，</w:t>
      </w:r>
      <w:r>
        <w:rPr>
          <w:rFonts w:hint="eastAsia" w:ascii="Times New Roman" w:hAnsi="Times New Roman" w:eastAsia="方正仿宋_GBK" w:cs="方正仿宋_GBK"/>
          <w:color w:val="auto"/>
          <w:sz w:val="32"/>
          <w:szCs w:val="32"/>
          <w:highlight w:val="none"/>
          <w:lang w:val="en-US" w:eastAsia="zh-CN"/>
        </w:rPr>
        <w:t>政府性基金转移支付收入901万元，上年结转68525万元</w:t>
      </w:r>
      <w:r>
        <w:rPr>
          <w:rFonts w:hint="eastAsia" w:ascii="Times New Roman" w:hAnsi="Times New Roman" w:eastAsia="方正仿宋_GBK" w:cs="方正仿宋_GBK"/>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sz w:val="32"/>
          <w:szCs w:val="32"/>
          <w:highlight w:val="none"/>
          <w:lang w:val="en-US" w:eastAsia="zh-CN"/>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rPr>
        <w:t>调整为</w:t>
      </w:r>
      <w:r>
        <w:rPr>
          <w:rFonts w:hint="eastAsia" w:ascii="Times New Roman" w:hAnsi="Times New Roman" w:eastAsia="方正仿宋_GBK" w:cs="方正仿宋_GBK"/>
          <w:color w:val="auto"/>
          <w:sz w:val="32"/>
          <w:szCs w:val="32"/>
          <w:highlight w:val="none"/>
          <w:lang w:val="en-US" w:eastAsia="zh-CN"/>
        </w:rPr>
        <w:t>152575万</w:t>
      </w:r>
      <w:r>
        <w:rPr>
          <w:rFonts w:hint="eastAsia" w:ascii="Times New Roman" w:hAnsi="Times New Roman" w:eastAsia="方正仿宋_GBK" w:cs="方正仿宋_GBK"/>
          <w:color w:val="auto"/>
          <w:sz w:val="32"/>
          <w:szCs w:val="32"/>
          <w:highlight w:val="none"/>
        </w:rPr>
        <w:t>元，其中</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lang w:val="en-US" w:eastAsia="zh-CN"/>
        </w:rPr>
        <w:t>政府性基金收入47058万元，政府性基金转移支付收入12692万元，上年结转68525万元，地方政府专项债务转贷收入24300万元</w:t>
      </w:r>
      <w:r>
        <w:rPr>
          <w:rFonts w:hint="eastAsia" w:ascii="Times New Roman" w:hAnsi="Times New Roman" w:eastAsia="方正仿宋_GBK" w:cs="方正仿宋_GBK"/>
          <w:sz w:val="32"/>
          <w:szCs w:val="32"/>
          <w:highlight w:val="none"/>
          <w:lang w:val="en-US" w:eastAsia="zh-CN"/>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w:t>
      </w:r>
      <w:r>
        <w:rPr>
          <w:rFonts w:hint="eastAsia" w:ascii="Times New Roman" w:hAnsi="Times New Roman" w:eastAsia="方正仿宋_GBK" w:cs="方正仿宋_GBK"/>
          <w:color w:val="auto"/>
          <w:sz w:val="32"/>
          <w:szCs w:val="32"/>
          <w:highlight w:val="none"/>
          <w:lang w:eastAsia="zh-CN"/>
        </w:rPr>
        <w:t>收入</w:t>
      </w:r>
      <w:r>
        <w:rPr>
          <w:rFonts w:hint="eastAsia" w:ascii="Times New Roman" w:hAnsi="Times New Roman" w:eastAsia="方正仿宋_GBK" w:cs="方正仿宋_GBK"/>
          <w:color w:val="auto"/>
          <w:sz w:val="32"/>
          <w:szCs w:val="32"/>
          <w:highlight w:val="none"/>
          <w:lang w:val="en-US" w:eastAsia="zh-CN"/>
        </w:rPr>
        <w:t>调增16991万元。</w:t>
      </w:r>
      <w:r>
        <w:rPr>
          <w:rFonts w:hint="eastAsia" w:ascii="Times New Roman" w:hAnsi="Times New Roman" w:eastAsia="方正仿宋_GBK" w:cs="方正仿宋_GBK"/>
          <w:b/>
          <w:bCs w:val="0"/>
          <w:color w:val="auto"/>
          <w:sz w:val="32"/>
          <w:szCs w:val="32"/>
          <w:highlight w:val="none"/>
          <w:lang w:val="en-US" w:eastAsia="zh-CN"/>
        </w:rPr>
        <w:t>一是</w:t>
      </w:r>
      <w:r>
        <w:rPr>
          <w:rFonts w:hint="eastAsia" w:ascii="Times New Roman" w:hAnsi="Times New Roman" w:eastAsia="方正仿宋_GBK" w:cs="方正仿宋_GBK"/>
          <w:b w:val="0"/>
          <w:bCs/>
          <w:color w:val="auto"/>
          <w:sz w:val="32"/>
          <w:szCs w:val="32"/>
          <w:highlight w:val="none"/>
          <w:lang w:val="en-US" w:eastAsia="zh-CN"/>
        </w:rPr>
        <w:t>根据自治区复审年初预算要求，调减国有土地使用权出让收入19100万元。</w:t>
      </w:r>
      <w:r>
        <w:rPr>
          <w:rFonts w:hint="eastAsia" w:ascii="Times New Roman" w:hAnsi="Times New Roman" w:eastAsia="方正仿宋_GBK" w:cs="方正仿宋_GBK"/>
          <w:b/>
          <w:bCs w:val="0"/>
          <w:color w:val="auto"/>
          <w:sz w:val="32"/>
          <w:szCs w:val="32"/>
          <w:highlight w:val="none"/>
          <w:lang w:val="en-US" w:eastAsia="zh-CN"/>
        </w:rPr>
        <w:t>二是</w:t>
      </w:r>
      <w:r>
        <w:rPr>
          <w:rFonts w:hint="eastAsia" w:ascii="Times New Roman" w:hAnsi="Times New Roman" w:eastAsia="方正仿宋_GBK" w:cs="方正仿宋_GBK"/>
          <w:color w:val="auto"/>
          <w:sz w:val="32"/>
          <w:szCs w:val="32"/>
          <w:highlight w:val="none"/>
          <w:lang w:val="en-US" w:eastAsia="zh-CN"/>
        </w:rPr>
        <w:t>政府性基金上级转移支付收入增加11791万元，主要是超长期特别国债、彩票公益金项目。</w:t>
      </w:r>
      <w:r>
        <w:rPr>
          <w:rFonts w:hint="eastAsia" w:ascii="Times New Roman" w:hAnsi="Times New Roman" w:eastAsia="方正仿宋_GBK" w:cs="方正仿宋_GBK"/>
          <w:b/>
          <w:bCs/>
          <w:color w:val="auto"/>
          <w:sz w:val="32"/>
          <w:szCs w:val="32"/>
          <w:highlight w:val="none"/>
          <w:lang w:val="en-US" w:eastAsia="zh-CN"/>
        </w:rPr>
        <w:t>三是</w:t>
      </w:r>
      <w:r>
        <w:rPr>
          <w:rFonts w:hint="eastAsia" w:ascii="Times New Roman" w:hAnsi="Times New Roman" w:eastAsia="方正仿宋_GBK" w:cs="方正仿宋_GBK"/>
          <w:color w:val="auto"/>
          <w:sz w:val="32"/>
          <w:szCs w:val="32"/>
          <w:highlight w:val="none"/>
          <w:lang w:val="en-US" w:eastAsia="zh-CN"/>
        </w:rPr>
        <w:t>地方政府专项债务转贷收入增加24300万元。</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2"/>
        <w:rPr>
          <w:rFonts w:hint="eastAsia" w:ascii="Times New Roman" w:hAnsi="Times New Roman" w:eastAsia="方正仿宋_GBK" w:cs="方正仿宋_GBK"/>
          <w:b/>
          <w:color w:val="auto"/>
          <w:sz w:val="32"/>
          <w:szCs w:val="32"/>
          <w:highlight w:val="none"/>
        </w:rPr>
      </w:pPr>
      <w:r>
        <w:rPr>
          <w:rFonts w:hint="eastAsia" w:ascii="Times New Roman" w:hAnsi="Times New Roman" w:eastAsia="方正仿宋_GBK" w:cs="方正仿宋_GBK"/>
          <w:b/>
          <w:color w:val="auto"/>
          <w:sz w:val="32"/>
          <w:szCs w:val="32"/>
          <w:highlight w:val="none"/>
          <w:lang w:val="en-US" w:eastAsia="zh-CN"/>
        </w:rPr>
        <w:t>（2）</w:t>
      </w:r>
      <w:r>
        <w:rPr>
          <w:rFonts w:hint="eastAsia" w:ascii="Times New Roman" w:hAnsi="Times New Roman" w:eastAsia="方正仿宋_GBK" w:cs="方正仿宋_GBK"/>
          <w:b/>
          <w:color w:val="auto"/>
          <w:sz w:val="32"/>
          <w:szCs w:val="32"/>
          <w:highlight w:val="none"/>
        </w:rPr>
        <w:t>政府性基金</w:t>
      </w:r>
      <w:r>
        <w:rPr>
          <w:rFonts w:hint="eastAsia" w:ascii="Times New Roman" w:hAnsi="Times New Roman" w:eastAsia="方正仿宋_GBK" w:cs="方正仿宋_GBK"/>
          <w:b/>
          <w:color w:val="auto"/>
          <w:sz w:val="32"/>
          <w:szCs w:val="32"/>
          <w:highlight w:val="none"/>
          <w:lang w:eastAsia="zh-CN"/>
        </w:rPr>
        <w:t>支出</w:t>
      </w:r>
      <w:r>
        <w:rPr>
          <w:rFonts w:hint="eastAsia" w:ascii="Times New Roman" w:hAnsi="Times New Roman" w:eastAsia="方正仿宋_GBK" w:cs="方正仿宋_GBK"/>
          <w:b/>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rPr>
      </w:pPr>
      <w:r>
        <w:rPr>
          <w:rFonts w:hint="eastAsia" w:ascii="Times New Roman" w:hAnsi="Times New Roman" w:eastAsia="方正仿宋_GBK" w:cs="方正仿宋_GBK"/>
          <w:b w:val="0"/>
          <w:bCs/>
          <w:color w:val="auto"/>
          <w:kern w:val="2"/>
          <w:sz w:val="32"/>
          <w:szCs w:val="32"/>
          <w:highlight w:val="none"/>
          <w:lang w:val="en-US" w:eastAsia="zh-CN" w:bidi="ar-SA"/>
        </w:rPr>
        <w:t>预算批复情况：</w:t>
      </w:r>
      <w:r>
        <w:rPr>
          <w:rFonts w:hint="eastAsia" w:ascii="Times New Roman" w:hAnsi="Times New Roman" w:eastAsia="方正仿宋_GBK" w:cs="方正仿宋_GBK"/>
          <w:color w:val="auto"/>
          <w:kern w:val="2"/>
          <w:sz w:val="32"/>
          <w:szCs w:val="32"/>
          <w:highlight w:val="none"/>
          <w:lang w:val="en-US" w:eastAsia="zh-CN" w:bidi="ar-SA"/>
        </w:rPr>
        <w:t>2026年1月经莎车县第十七届人民代表大会第六次会议</w:t>
      </w:r>
      <w:r>
        <w:rPr>
          <w:rFonts w:hint="eastAsia" w:ascii="Times New Roman" w:hAnsi="Times New Roman" w:eastAsia="方正仿宋_GBK" w:cs="方正仿宋_GBK"/>
          <w:kern w:val="2"/>
          <w:sz w:val="32"/>
          <w:szCs w:val="32"/>
          <w:highlight w:val="none"/>
          <w:lang w:val="en-US" w:eastAsia="zh-CN" w:bidi="ar-SA"/>
        </w:rPr>
        <w:t>批准，</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政府性基金预算总支出</w:t>
      </w:r>
      <w:r>
        <w:rPr>
          <w:rFonts w:hint="eastAsia" w:ascii="Times New Roman" w:hAnsi="Times New Roman" w:eastAsia="方正仿宋_GBK" w:cs="方正仿宋_GBK"/>
          <w:color w:val="auto"/>
          <w:sz w:val="32"/>
          <w:szCs w:val="32"/>
          <w:highlight w:val="none"/>
          <w:lang w:val="en-US" w:eastAsia="zh-CN"/>
        </w:rPr>
        <w:t>为135584万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rPr>
        <w:t>其中：</w:t>
      </w:r>
      <w:r>
        <w:rPr>
          <w:rFonts w:hint="eastAsia" w:ascii="Times New Roman" w:hAnsi="Times New Roman" w:eastAsia="方正仿宋_GBK" w:cs="方正仿宋_GBK"/>
          <w:color w:val="auto"/>
          <w:sz w:val="32"/>
          <w:szCs w:val="32"/>
          <w:highlight w:val="none"/>
          <w:lang w:val="en-US" w:eastAsia="zh-CN"/>
        </w:rPr>
        <w:t>政府性基金支出102650万元，</w:t>
      </w:r>
      <w:r>
        <w:rPr>
          <w:rFonts w:hint="eastAsia" w:ascii="Times New Roman" w:hAnsi="Times New Roman" w:eastAsia="方正仿宋_GBK" w:cs="方正仿宋_GBK"/>
          <w:color w:val="auto"/>
          <w:sz w:val="32"/>
          <w:szCs w:val="32"/>
          <w:highlight w:val="none"/>
        </w:rPr>
        <w:t>调出资金</w:t>
      </w:r>
      <w:r>
        <w:rPr>
          <w:rFonts w:hint="eastAsia" w:ascii="Times New Roman" w:hAnsi="Times New Roman" w:eastAsia="方正仿宋_GBK" w:cs="方正仿宋_GBK"/>
          <w:color w:val="auto"/>
          <w:sz w:val="32"/>
          <w:szCs w:val="32"/>
          <w:highlight w:val="none"/>
          <w:lang w:val="en-US" w:eastAsia="zh-CN"/>
        </w:rPr>
        <w:t>32000万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，地方政府专项债务还本支出934万元</w:t>
      </w:r>
      <w:r>
        <w:rPr>
          <w:rFonts w:hint="eastAsia" w:ascii="Times New Roman" w:hAnsi="Times New Roman" w:eastAsia="方正仿宋_GBK" w:cs="方正仿宋_GBK"/>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color w:val="auto"/>
          <w:sz w:val="32"/>
          <w:szCs w:val="32"/>
          <w:highlight w:val="none"/>
          <w:lang w:val="en-US" w:eastAsia="zh-CN"/>
        </w:rPr>
      </w:pPr>
      <w:r>
        <w:rPr>
          <w:rFonts w:hint="eastAsia" w:ascii="Times New Roman" w:hAnsi="Times New Roman" w:eastAsia="方正仿宋_GBK" w:cs="方正仿宋_GBK"/>
          <w:color w:val="auto"/>
          <w:kern w:val="2"/>
          <w:sz w:val="32"/>
          <w:szCs w:val="32"/>
          <w:highlight w:val="none"/>
          <w:lang w:val="en-US" w:eastAsia="zh-CN" w:bidi="ar-SA"/>
        </w:rPr>
        <w:t>本次调整情况：</w:t>
      </w: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总支出调整为</w:t>
      </w:r>
      <w:r>
        <w:rPr>
          <w:rFonts w:hint="eastAsia" w:ascii="Times New Roman" w:hAnsi="Times New Roman" w:eastAsia="方正仿宋_GBK" w:cs="方正仿宋_GBK"/>
          <w:color w:val="auto"/>
          <w:sz w:val="32"/>
          <w:szCs w:val="32"/>
          <w:highlight w:val="none"/>
          <w:lang w:val="en-US" w:eastAsia="zh-CN"/>
        </w:rPr>
        <w:t>152575万</w:t>
      </w:r>
      <w:r>
        <w:rPr>
          <w:rFonts w:hint="eastAsia" w:ascii="Times New Roman" w:hAnsi="Times New Roman" w:eastAsia="方正仿宋_GBK" w:cs="方正仿宋_GBK"/>
          <w:color w:val="auto"/>
          <w:sz w:val="32"/>
          <w:szCs w:val="32"/>
          <w:highlight w:val="none"/>
        </w:rPr>
        <w:t>元，其中：政府性基金支出</w:t>
      </w:r>
      <w:r>
        <w:rPr>
          <w:rFonts w:hint="eastAsia" w:ascii="Times New Roman" w:hAnsi="Times New Roman" w:eastAsia="方正仿宋_GBK" w:cs="方正仿宋_GBK"/>
          <w:color w:val="auto"/>
          <w:sz w:val="32"/>
          <w:szCs w:val="32"/>
          <w:highlight w:val="none"/>
          <w:lang w:val="en-US" w:eastAsia="zh-CN"/>
        </w:rPr>
        <w:t>138741万</w:t>
      </w:r>
      <w:r>
        <w:rPr>
          <w:rFonts w:hint="eastAsia" w:ascii="Times New Roman" w:hAnsi="Times New Roman" w:eastAsia="方正仿宋_GBK" w:cs="方正仿宋_GBK"/>
          <w:color w:val="auto"/>
          <w:sz w:val="32"/>
          <w:szCs w:val="32"/>
          <w:highlight w:val="none"/>
        </w:rPr>
        <w:t>元</w:t>
      </w:r>
      <w:r>
        <w:rPr>
          <w:rFonts w:hint="eastAsia" w:ascii="Times New Roman" w:hAnsi="Times New Roman" w:eastAsia="方正仿宋_GBK" w:cs="方正仿宋_GBK"/>
          <w:color w:val="auto"/>
          <w:sz w:val="32"/>
          <w:szCs w:val="32"/>
          <w:highlight w:val="none"/>
          <w:lang w:eastAsia="zh-CN"/>
        </w:rPr>
        <w:t>，</w:t>
      </w:r>
      <w:r>
        <w:rPr>
          <w:rFonts w:hint="eastAsia" w:ascii="Times New Roman" w:hAnsi="Times New Roman" w:eastAsia="方正仿宋_GBK" w:cs="方正仿宋_GBK"/>
          <w:color w:val="auto"/>
          <w:sz w:val="32"/>
          <w:szCs w:val="32"/>
          <w:highlight w:val="none"/>
          <w:lang w:val="en-US" w:eastAsia="zh-CN"/>
        </w:rPr>
        <w:t>调出资金12900万元，</w:t>
      </w:r>
      <w:r>
        <w:rPr>
          <w:rFonts w:hint="eastAsia" w:ascii="Times New Roman" w:hAnsi="Times New Roman" w:eastAsia="方正仿宋_GBK" w:cs="方正仿宋_GBK"/>
          <w:color w:val="auto"/>
          <w:sz w:val="32"/>
          <w:szCs w:val="32"/>
          <w:highlight w:val="none"/>
          <w:lang w:eastAsia="zh-CN"/>
        </w:rPr>
        <w:t>地方政府专项债务还本支出934万元</w:t>
      </w:r>
      <w:r>
        <w:rPr>
          <w:rFonts w:hint="eastAsia" w:ascii="Times New Roman" w:hAnsi="Times New Roman" w:eastAsia="方正仿宋_GBK" w:cs="方正仿宋_GBK"/>
          <w:color w:val="auto"/>
          <w:sz w:val="32"/>
          <w:szCs w:val="32"/>
          <w:highlight w:val="none"/>
          <w:lang w:val="en-US" w:eastAsia="zh-CN"/>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rPr>
          <w:rFonts w:hint="eastAsia" w:ascii="Times New Roman" w:hAnsi="Times New Roman" w:eastAsia="方正仿宋_GBK" w:cs="方正仿宋_GBK"/>
          <w:b/>
          <w:bCs/>
          <w:color w:val="auto"/>
          <w:sz w:val="32"/>
          <w:szCs w:val="32"/>
          <w:highlight w:val="none"/>
        </w:rPr>
      </w:pPr>
      <w:r>
        <w:rPr>
          <w:rFonts w:hint="eastAsia" w:ascii="Times New Roman" w:hAnsi="Times New Roman" w:eastAsia="方正仿宋_GBK" w:cs="方正仿宋_GBK"/>
          <w:b/>
          <w:bCs/>
          <w:color w:val="auto"/>
          <w:sz w:val="32"/>
          <w:szCs w:val="32"/>
          <w:highlight w:val="none"/>
        </w:rPr>
        <w:t>调整</w:t>
      </w:r>
      <w:r>
        <w:rPr>
          <w:rFonts w:hint="eastAsia" w:ascii="Times New Roman" w:hAnsi="Times New Roman" w:eastAsia="方正仿宋_GBK" w:cs="方正仿宋_GBK"/>
          <w:b/>
          <w:bCs/>
          <w:color w:val="auto"/>
          <w:sz w:val="32"/>
          <w:szCs w:val="32"/>
          <w:highlight w:val="none"/>
          <w:lang w:val="en-US" w:eastAsia="zh-CN"/>
        </w:rPr>
        <w:t>的主要原因</w:t>
      </w:r>
      <w:r>
        <w:rPr>
          <w:rFonts w:hint="eastAsia" w:ascii="Times New Roman" w:hAnsi="Times New Roman" w:eastAsia="方正仿宋_GBK" w:cs="方正仿宋_GBK"/>
          <w:b/>
          <w:bCs/>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default"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color w:val="auto"/>
          <w:sz w:val="32"/>
          <w:szCs w:val="32"/>
          <w:highlight w:val="none"/>
          <w:lang w:val="en-US" w:eastAsia="zh-CN"/>
        </w:rPr>
        <w:t>莎车县2026年</w:t>
      </w:r>
      <w:r>
        <w:rPr>
          <w:rFonts w:hint="eastAsia" w:ascii="Times New Roman" w:hAnsi="Times New Roman" w:eastAsia="方正仿宋_GBK" w:cs="方正仿宋_GBK"/>
          <w:color w:val="auto"/>
          <w:sz w:val="32"/>
          <w:szCs w:val="32"/>
          <w:highlight w:val="none"/>
        </w:rPr>
        <w:t>政府性基金</w:t>
      </w:r>
      <w:r>
        <w:rPr>
          <w:rFonts w:hint="eastAsia" w:ascii="Times New Roman" w:hAnsi="Times New Roman" w:eastAsia="方正仿宋_GBK" w:cs="方正仿宋_GBK"/>
          <w:color w:val="auto"/>
          <w:sz w:val="32"/>
          <w:szCs w:val="32"/>
          <w:highlight w:val="none"/>
          <w:lang w:val="en-US" w:eastAsia="zh-CN"/>
        </w:rPr>
        <w:t>预算</w:t>
      </w:r>
      <w:r>
        <w:rPr>
          <w:rFonts w:hint="eastAsia" w:ascii="Times New Roman" w:hAnsi="Times New Roman" w:eastAsia="方正仿宋_GBK" w:cs="方正仿宋_GBK"/>
          <w:color w:val="auto"/>
          <w:sz w:val="32"/>
          <w:szCs w:val="32"/>
          <w:highlight w:val="none"/>
        </w:rPr>
        <w:t>总支出</w:t>
      </w:r>
      <w:r>
        <w:rPr>
          <w:rFonts w:hint="eastAsia" w:ascii="Times New Roman" w:hAnsi="Times New Roman" w:eastAsia="方正仿宋_GBK" w:cs="方正仿宋_GBK"/>
          <w:color w:val="auto"/>
          <w:sz w:val="32"/>
          <w:szCs w:val="32"/>
          <w:highlight w:val="none"/>
          <w:lang w:val="en-US" w:eastAsia="zh-CN"/>
        </w:rPr>
        <w:t>调增16991万元。</w:t>
      </w:r>
      <w:r>
        <w:rPr>
          <w:rFonts w:hint="eastAsia" w:ascii="Times New Roman" w:hAnsi="Times New Roman" w:eastAsia="方正仿宋_GBK" w:cs="方正仿宋_GBK"/>
          <w:b/>
          <w:bCs/>
          <w:color w:val="auto"/>
          <w:sz w:val="32"/>
          <w:szCs w:val="32"/>
          <w:highlight w:val="none"/>
          <w:lang w:val="en-US" w:eastAsia="zh-CN"/>
        </w:rPr>
        <w:t>一是</w:t>
      </w:r>
      <w:r>
        <w:rPr>
          <w:rFonts w:hint="eastAsia" w:ascii="Times New Roman" w:hAnsi="Times New Roman" w:eastAsia="方正仿宋_GBK" w:cs="方正仿宋_GBK"/>
          <w:color w:val="auto"/>
          <w:sz w:val="32"/>
          <w:szCs w:val="32"/>
          <w:highlight w:val="none"/>
          <w:lang w:val="en-US" w:eastAsia="zh-CN"/>
        </w:rPr>
        <w:t>根据自治区财政厅《关于进一步规范调入资金事项的通知》文件要求，减少政府性基金预算调出资金19100万元。</w:t>
      </w:r>
      <w:r>
        <w:rPr>
          <w:rFonts w:hint="eastAsia" w:ascii="Times New Roman" w:hAnsi="Times New Roman" w:eastAsia="方正仿宋_GBK" w:cs="方正仿宋_GBK"/>
          <w:b/>
          <w:bCs/>
          <w:color w:val="auto"/>
          <w:sz w:val="32"/>
          <w:szCs w:val="32"/>
          <w:highlight w:val="none"/>
          <w:lang w:val="en-US" w:eastAsia="zh-CN"/>
        </w:rPr>
        <w:t>二是</w:t>
      </w:r>
      <w:r>
        <w:rPr>
          <w:rFonts w:hint="eastAsia" w:ascii="Times New Roman" w:hAnsi="Times New Roman" w:eastAsia="方正仿宋_GBK" w:cs="方正仿宋_GBK"/>
          <w:color w:val="auto"/>
          <w:sz w:val="32"/>
          <w:szCs w:val="32"/>
          <w:highlight w:val="none"/>
          <w:lang w:val="en-US" w:eastAsia="zh-CN"/>
        </w:rPr>
        <w:t>专项用途资金支出增加11791万元。</w:t>
      </w:r>
      <w:r>
        <w:rPr>
          <w:rFonts w:hint="eastAsia" w:ascii="Times New Roman" w:hAnsi="Times New Roman" w:eastAsia="方正仿宋_GBK" w:cs="方正仿宋_GBK"/>
          <w:b/>
          <w:bCs/>
          <w:color w:val="auto"/>
          <w:sz w:val="32"/>
          <w:szCs w:val="32"/>
          <w:highlight w:val="none"/>
          <w:lang w:val="en-US" w:eastAsia="zh-CN"/>
        </w:rPr>
        <w:t>三是</w:t>
      </w:r>
      <w:r>
        <w:rPr>
          <w:rFonts w:hint="eastAsia" w:ascii="Times New Roman" w:hAnsi="Times New Roman" w:eastAsia="方正仿宋_GBK" w:cs="方正仿宋_GBK"/>
          <w:color w:val="auto"/>
          <w:sz w:val="32"/>
          <w:szCs w:val="32"/>
          <w:highlight w:val="none"/>
          <w:lang w:val="en-US" w:eastAsia="zh-CN"/>
        </w:rPr>
        <w:t>上级下达专项债券资金24300亿元，用于化解地方政府拖欠企业账款。</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val="en-US" w:eastAsia="zh-CN"/>
        </w:rPr>
        <w:t>三</w:t>
      </w:r>
      <w:r>
        <w:rPr>
          <w:rFonts w:hint="eastAsia" w:ascii="Times New Roman" w:hAnsi="Times New Roman" w:eastAsia="方正楷体_GBK" w:cs="方正楷体_GBK"/>
          <w:b/>
          <w:bCs w:val="0"/>
          <w:color w:val="auto"/>
          <w:sz w:val="32"/>
          <w:szCs w:val="32"/>
          <w:highlight w:val="none"/>
        </w:rPr>
        <w:t>）国有资本经营预算调整情况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r>
        <w:rPr>
          <w:rFonts w:hint="eastAsia" w:ascii="Times New Roman" w:hAnsi="Times New Roman" w:eastAsia="方正仿宋_GBK" w:cs="方正仿宋_GBK"/>
          <w:b w:val="0"/>
          <w:bCs w:val="0"/>
          <w:color w:val="auto"/>
          <w:kern w:val="2"/>
          <w:sz w:val="32"/>
          <w:szCs w:val="32"/>
          <w:highlight w:val="none"/>
          <w:lang w:val="en-US" w:eastAsia="zh-CN" w:bidi="ar-SA"/>
        </w:rPr>
        <w:t>本次无调整情况</w:t>
      </w:r>
      <w:r>
        <w:rPr>
          <w:rFonts w:hint="eastAsia" w:ascii="Times New Roman" w:hAnsi="Times New Roman" w:eastAsia="方正仿宋_GBK" w:cs="方正仿宋_GBK"/>
          <w:b w:val="0"/>
          <w:bCs w:val="0"/>
          <w:color w:val="auto"/>
          <w:sz w:val="32"/>
          <w:szCs w:val="32"/>
          <w:highlight w:val="none"/>
        </w:rPr>
        <w:t>。</w:t>
      </w:r>
    </w:p>
    <w:p>
      <w:pPr>
        <w:keepNext w:val="0"/>
        <w:keepLines w:val="0"/>
        <w:pageBreakBefore w:val="0"/>
        <w:kinsoku/>
        <w:wordWrap/>
        <w:overflowPunct/>
        <w:topLinePunct w:val="0"/>
        <w:autoSpaceDE/>
        <w:autoSpaceDN/>
        <w:bidi w:val="0"/>
        <w:adjustRightInd/>
        <w:snapToGrid/>
        <w:spacing w:line="620" w:lineRule="atLeast"/>
        <w:ind w:firstLine="643" w:firstLineChars="200"/>
        <w:jc w:val="both"/>
        <w:textAlignment w:val="auto"/>
        <w:outlineLvl w:val="1"/>
        <w:rPr>
          <w:rFonts w:hint="eastAsia" w:ascii="Times New Roman" w:hAnsi="Times New Roman" w:eastAsia="方正楷体_GBK" w:cs="方正楷体_GBK"/>
          <w:b/>
          <w:bCs w:val="0"/>
          <w:color w:val="auto"/>
          <w:sz w:val="32"/>
          <w:szCs w:val="32"/>
          <w:highlight w:val="none"/>
        </w:rPr>
      </w:pP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eastAsia="zh-CN"/>
        </w:rPr>
        <w:t>四</w:t>
      </w:r>
      <w:r>
        <w:rPr>
          <w:rFonts w:hint="eastAsia" w:ascii="Times New Roman" w:hAnsi="Times New Roman" w:eastAsia="方正楷体_GBK" w:cs="方正楷体_GBK"/>
          <w:b/>
          <w:bCs w:val="0"/>
          <w:color w:val="auto"/>
          <w:sz w:val="32"/>
          <w:szCs w:val="32"/>
          <w:highlight w:val="none"/>
        </w:rPr>
        <w:t>）</w:t>
      </w:r>
      <w:r>
        <w:rPr>
          <w:rFonts w:hint="eastAsia" w:ascii="Times New Roman" w:hAnsi="Times New Roman" w:eastAsia="方正楷体_GBK" w:cs="方正楷体_GBK"/>
          <w:b/>
          <w:bCs w:val="0"/>
          <w:color w:val="auto"/>
          <w:sz w:val="32"/>
          <w:szCs w:val="32"/>
          <w:highlight w:val="none"/>
          <w:lang w:eastAsia="zh-CN"/>
        </w:rPr>
        <w:t>社保基金</w:t>
      </w:r>
      <w:r>
        <w:rPr>
          <w:rFonts w:hint="eastAsia" w:ascii="Times New Roman" w:hAnsi="Times New Roman" w:eastAsia="方正楷体_GBK" w:cs="方正楷体_GBK"/>
          <w:b/>
          <w:bCs w:val="0"/>
          <w:color w:val="auto"/>
          <w:sz w:val="32"/>
          <w:szCs w:val="32"/>
          <w:highlight w:val="none"/>
        </w:rPr>
        <w:t>预算调整情况</w:t>
      </w:r>
    </w:p>
    <w:p>
      <w:pPr>
        <w:keepNext w:val="0"/>
        <w:keepLines w:val="0"/>
        <w:pageBreakBefore w:val="0"/>
        <w:kinsoku/>
        <w:wordWrap/>
        <w:overflowPunct/>
        <w:topLinePunct w:val="0"/>
        <w:autoSpaceDE/>
        <w:autoSpaceDN/>
        <w:bidi w:val="0"/>
        <w:adjustRightInd/>
        <w:snapToGrid/>
        <w:spacing w:line="620" w:lineRule="atLeast"/>
        <w:ind w:firstLine="640" w:firstLineChars="200"/>
        <w:jc w:val="both"/>
        <w:textAlignment w:val="auto"/>
        <w:rPr>
          <w:rFonts w:hint="eastAsia" w:ascii="Times New Roman" w:hAnsi="Times New Roman" w:eastAsia="方正仿宋_GBK" w:cs="方正仿宋_GBK"/>
          <w:b w:val="0"/>
          <w:bCs w:val="0"/>
          <w:color w:val="auto"/>
          <w:sz w:val="32"/>
          <w:szCs w:val="32"/>
          <w:highlight w:val="none"/>
        </w:rPr>
      </w:pPr>
      <w:bookmarkStart w:id="2" w:name="OLE_LINK1"/>
      <w:r>
        <w:rPr>
          <w:rFonts w:hint="eastAsia" w:ascii="Times New Roman" w:hAnsi="Times New Roman" w:eastAsia="方正仿宋_GBK" w:cs="方正仿宋_GBK"/>
          <w:b w:val="0"/>
          <w:bCs w:val="0"/>
          <w:color w:val="auto"/>
          <w:kern w:val="2"/>
          <w:sz w:val="32"/>
          <w:szCs w:val="32"/>
          <w:highlight w:val="none"/>
          <w:lang w:val="en-US" w:eastAsia="zh-CN" w:bidi="ar-SA"/>
        </w:rPr>
        <w:t>本次无调整情况</w:t>
      </w:r>
      <w:r>
        <w:rPr>
          <w:rFonts w:hint="eastAsia" w:ascii="Times New Roman" w:hAnsi="Times New Roman" w:eastAsia="方正仿宋_GBK" w:cs="方正仿宋_GBK"/>
          <w:b w:val="0"/>
          <w:bCs w:val="0"/>
          <w:color w:val="auto"/>
          <w:sz w:val="32"/>
          <w:szCs w:val="32"/>
          <w:highlight w:val="none"/>
        </w:rPr>
        <w:t>。</w:t>
      </w:r>
    </w:p>
    <w:bookmarkEnd w:id="2"/>
    <w:p>
      <w:pPr>
        <w:pStyle w:val="2"/>
        <w:pageBreakBefore w:val="0"/>
        <w:kinsoku/>
        <w:overflowPunct/>
        <w:topLinePunct w:val="0"/>
        <w:autoSpaceDN/>
        <w:bidi w:val="0"/>
        <w:adjustRightInd/>
        <w:snapToGrid/>
        <w:spacing w:before="0" w:after="0" w:line="620" w:lineRule="atLeast"/>
        <w:ind w:firstLine="640" w:firstLineChars="200"/>
        <w:jc w:val="both"/>
        <w:outlineLvl w:val="0"/>
        <w:rPr>
          <w:rFonts w:hint="eastAsia" w:ascii="Times New Roman" w:hAnsi="Times New Roman" w:eastAsia="方正仿宋_GBK" w:cs="方正仿宋_GBK"/>
          <w:b w:val="0"/>
          <w:bCs w:val="0"/>
          <w:color w:val="auto"/>
          <w:sz w:val="32"/>
          <w:szCs w:val="32"/>
          <w:highlight w:val="none"/>
          <w:lang w:val="en-US" w:eastAsia="zh-CN"/>
        </w:rPr>
      </w:pPr>
      <w:bookmarkStart w:id="3" w:name="_GoBack"/>
      <w:bookmarkEnd w:id="3"/>
      <w:r>
        <w:rPr>
          <w:rFonts w:hint="eastAsia" w:ascii="Times New Roman" w:hAnsi="Times New Roman" w:eastAsia="方正仿宋_GBK" w:cs="方正仿宋_GBK"/>
          <w:b w:val="0"/>
          <w:bCs w:val="0"/>
          <w:color w:val="auto"/>
          <w:sz w:val="32"/>
          <w:szCs w:val="32"/>
          <w:highlight w:val="none"/>
          <w:lang w:val="en-US" w:eastAsia="zh-CN"/>
        </w:rPr>
        <w:t>附件：1.2026年莎车县一般公共预算调整方案</w:t>
      </w:r>
    </w:p>
    <w:p>
      <w:pPr>
        <w:pageBreakBefore w:val="0"/>
        <w:kinsoku/>
        <w:overflowPunct/>
        <w:topLinePunct w:val="0"/>
        <w:autoSpaceDN/>
        <w:bidi w:val="0"/>
        <w:adjustRightInd/>
        <w:snapToGrid/>
        <w:spacing w:line="620" w:lineRule="atLeast"/>
        <w:ind w:firstLine="1600" w:firstLineChars="500"/>
        <w:outlineLvl w:val="0"/>
        <w:rPr>
          <w:rFonts w:hint="default"/>
          <w:lang w:val="en-US" w:eastAsia="zh-CN"/>
        </w:rPr>
      </w:pPr>
      <w:r>
        <w:rPr>
          <w:rFonts w:hint="eastAsia" w:ascii="Times New Roman" w:hAnsi="Times New Roman" w:eastAsia="方正仿宋_GBK" w:cs="方正仿宋_GBK"/>
          <w:b w:val="0"/>
          <w:bCs w:val="0"/>
          <w:color w:val="auto"/>
          <w:sz w:val="32"/>
          <w:szCs w:val="32"/>
          <w:highlight w:val="none"/>
          <w:lang w:val="en-US" w:eastAsia="zh-CN"/>
        </w:rPr>
        <w:t>2.2026年莎车县政府性基金预算调整方案</w:t>
      </w: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p>
    <w:p>
      <w:pPr>
        <w:pStyle w:val="2"/>
        <w:pageBreakBefore w:val="0"/>
        <w:widowControl w:val="0"/>
        <w:kinsoku/>
        <w:wordWrap/>
        <w:overflowPunct/>
        <w:topLinePunct w:val="0"/>
        <w:autoSpaceDE/>
        <w:autoSpaceDN/>
        <w:bidi w:val="0"/>
        <w:adjustRightInd/>
        <w:snapToGrid/>
        <w:spacing w:before="0" w:after="0" w:line="620" w:lineRule="atLeast"/>
        <w:ind w:firstLine="5120" w:firstLineChars="1600"/>
        <w:jc w:val="both"/>
        <w:rPr>
          <w:rFonts w:hint="eastAsia" w:ascii="Times New Roman" w:hAnsi="Times New Roman" w:eastAsia="方正仿宋_GBK" w:cs="方正仿宋_GBK"/>
          <w:b w:val="0"/>
          <w:bCs w:val="0"/>
          <w:color w:val="auto"/>
          <w:sz w:val="32"/>
          <w:szCs w:val="32"/>
          <w:highlight w:val="none"/>
          <w:lang w:val="en-US" w:eastAsia="zh-CN"/>
        </w:rPr>
      </w:pPr>
      <w:r>
        <w:rPr>
          <w:rFonts w:hint="eastAsia" w:ascii="Times New Roman" w:hAnsi="Times New Roman" w:eastAsia="方正仿宋_GBK" w:cs="方正仿宋_GBK"/>
          <w:b w:val="0"/>
          <w:bCs w:val="0"/>
          <w:color w:val="auto"/>
          <w:sz w:val="32"/>
          <w:szCs w:val="32"/>
          <w:highlight w:val="none"/>
          <w:lang w:val="en-US" w:eastAsia="zh-CN"/>
        </w:rPr>
        <w:t>莎车县财政局</w:t>
      </w:r>
    </w:p>
    <w:p>
      <w:pPr>
        <w:pageBreakBefore w:val="0"/>
        <w:widowControl w:val="0"/>
        <w:kinsoku/>
        <w:wordWrap/>
        <w:overflowPunct/>
        <w:topLinePunct w:val="0"/>
        <w:autoSpaceDE/>
        <w:autoSpaceDN/>
        <w:bidi w:val="0"/>
        <w:adjustRightInd/>
        <w:snapToGrid/>
        <w:spacing w:line="620" w:lineRule="atLeast"/>
        <w:ind w:firstLine="4800" w:firstLineChars="1500"/>
        <w:jc w:val="both"/>
        <w:rPr>
          <w:rFonts w:hint="default"/>
          <w:lang w:val="en-US" w:eastAsia="zh-CN"/>
        </w:rPr>
      </w:pPr>
      <w:r>
        <w:rPr>
          <w:rFonts w:hint="eastAsia" w:ascii="Times New Roman" w:hAnsi="Times New Roman" w:eastAsia="方正仿宋_GBK" w:cs="方正仿宋_GBK"/>
          <w:b w:val="0"/>
          <w:bCs w:val="0"/>
          <w:color w:val="auto"/>
          <w:sz w:val="32"/>
          <w:szCs w:val="32"/>
          <w:highlight w:val="none"/>
          <w:lang w:val="en-US" w:eastAsia="zh-CN"/>
        </w:rPr>
        <w:t>2026年5月13日</w:t>
      </w:r>
    </w:p>
    <w:sectPr>
      <w:footerReference r:id="rId3" w:type="default"/>
      <w:pgSz w:w="11906" w:h="16838"/>
      <w:pgMar w:top="1984" w:right="1531" w:bottom="1701"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楷体简体">
    <w:altName w:val="宋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heme="minorEastAsia" w:hAnsiTheme="minorEastAsia"/>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972"/>
    <w:rsid w:val="000427B4"/>
    <w:rsid w:val="00073F76"/>
    <w:rsid w:val="000A1DB1"/>
    <w:rsid w:val="000D12B4"/>
    <w:rsid w:val="000E6DC5"/>
    <w:rsid w:val="0012130A"/>
    <w:rsid w:val="00145D4E"/>
    <w:rsid w:val="00160A3B"/>
    <w:rsid w:val="001621DA"/>
    <w:rsid w:val="001726EF"/>
    <w:rsid w:val="001B1EA0"/>
    <w:rsid w:val="001E267E"/>
    <w:rsid w:val="002057FE"/>
    <w:rsid w:val="00224EAE"/>
    <w:rsid w:val="00232F2F"/>
    <w:rsid w:val="00236DE1"/>
    <w:rsid w:val="002543E5"/>
    <w:rsid w:val="00257589"/>
    <w:rsid w:val="0026325F"/>
    <w:rsid w:val="002A1BA4"/>
    <w:rsid w:val="002A60BD"/>
    <w:rsid w:val="00301E5D"/>
    <w:rsid w:val="003829A9"/>
    <w:rsid w:val="003B7DD7"/>
    <w:rsid w:val="00413347"/>
    <w:rsid w:val="0041608B"/>
    <w:rsid w:val="0042294C"/>
    <w:rsid w:val="00463B92"/>
    <w:rsid w:val="004A58A6"/>
    <w:rsid w:val="004B7B26"/>
    <w:rsid w:val="004D2BAD"/>
    <w:rsid w:val="00500CB0"/>
    <w:rsid w:val="00544651"/>
    <w:rsid w:val="00556A68"/>
    <w:rsid w:val="00584761"/>
    <w:rsid w:val="005860E8"/>
    <w:rsid w:val="005B41E2"/>
    <w:rsid w:val="005D2132"/>
    <w:rsid w:val="005D2BE2"/>
    <w:rsid w:val="0064393B"/>
    <w:rsid w:val="00671CDA"/>
    <w:rsid w:val="00676013"/>
    <w:rsid w:val="006A60C1"/>
    <w:rsid w:val="006B199A"/>
    <w:rsid w:val="00763FDD"/>
    <w:rsid w:val="00782AA0"/>
    <w:rsid w:val="00847754"/>
    <w:rsid w:val="00861FD9"/>
    <w:rsid w:val="00880DCE"/>
    <w:rsid w:val="0088370E"/>
    <w:rsid w:val="0089471F"/>
    <w:rsid w:val="008A31EA"/>
    <w:rsid w:val="008B1D62"/>
    <w:rsid w:val="008B693F"/>
    <w:rsid w:val="008E2B67"/>
    <w:rsid w:val="00933197"/>
    <w:rsid w:val="00952E3A"/>
    <w:rsid w:val="00956C42"/>
    <w:rsid w:val="00973553"/>
    <w:rsid w:val="00994D8C"/>
    <w:rsid w:val="009A1CE4"/>
    <w:rsid w:val="009B16A5"/>
    <w:rsid w:val="009E1C94"/>
    <w:rsid w:val="009F3475"/>
    <w:rsid w:val="00A13632"/>
    <w:rsid w:val="00A64C03"/>
    <w:rsid w:val="00AB1BF7"/>
    <w:rsid w:val="00AB44E1"/>
    <w:rsid w:val="00AF2013"/>
    <w:rsid w:val="00AF3B03"/>
    <w:rsid w:val="00B05360"/>
    <w:rsid w:val="00BC072A"/>
    <w:rsid w:val="00BF1469"/>
    <w:rsid w:val="00C33C6F"/>
    <w:rsid w:val="00C84972"/>
    <w:rsid w:val="00CC505F"/>
    <w:rsid w:val="00CD5046"/>
    <w:rsid w:val="00CD7D70"/>
    <w:rsid w:val="00D14DFB"/>
    <w:rsid w:val="00D611A9"/>
    <w:rsid w:val="00D626BE"/>
    <w:rsid w:val="00D86A84"/>
    <w:rsid w:val="00DA54F8"/>
    <w:rsid w:val="00DD08C7"/>
    <w:rsid w:val="00DD25A9"/>
    <w:rsid w:val="00E45A6D"/>
    <w:rsid w:val="00ED301A"/>
    <w:rsid w:val="00F3016A"/>
    <w:rsid w:val="00F676BE"/>
    <w:rsid w:val="00FB64AC"/>
    <w:rsid w:val="00FD1E9B"/>
    <w:rsid w:val="011A37E6"/>
    <w:rsid w:val="01262F76"/>
    <w:rsid w:val="01681C9A"/>
    <w:rsid w:val="01B8622C"/>
    <w:rsid w:val="01C14BDB"/>
    <w:rsid w:val="03175334"/>
    <w:rsid w:val="032B7E77"/>
    <w:rsid w:val="03877D48"/>
    <w:rsid w:val="03A9470A"/>
    <w:rsid w:val="03BE41ED"/>
    <w:rsid w:val="03EB44C9"/>
    <w:rsid w:val="042778F0"/>
    <w:rsid w:val="04706852"/>
    <w:rsid w:val="04994673"/>
    <w:rsid w:val="04C009FA"/>
    <w:rsid w:val="050D2505"/>
    <w:rsid w:val="05291D24"/>
    <w:rsid w:val="05E24DD2"/>
    <w:rsid w:val="062A068C"/>
    <w:rsid w:val="063B79A2"/>
    <w:rsid w:val="067C3B1C"/>
    <w:rsid w:val="06892796"/>
    <w:rsid w:val="06A63C05"/>
    <w:rsid w:val="06DC2966"/>
    <w:rsid w:val="071F384E"/>
    <w:rsid w:val="07201FF9"/>
    <w:rsid w:val="080A4A61"/>
    <w:rsid w:val="082014E3"/>
    <w:rsid w:val="082642D4"/>
    <w:rsid w:val="082B0327"/>
    <w:rsid w:val="086F7C17"/>
    <w:rsid w:val="087A5754"/>
    <w:rsid w:val="08912AFD"/>
    <w:rsid w:val="08EF575E"/>
    <w:rsid w:val="09027CC1"/>
    <w:rsid w:val="090E2689"/>
    <w:rsid w:val="09102D05"/>
    <w:rsid w:val="091531AA"/>
    <w:rsid w:val="094D1F7A"/>
    <w:rsid w:val="09613E48"/>
    <w:rsid w:val="09811E96"/>
    <w:rsid w:val="099A7AC9"/>
    <w:rsid w:val="09D51359"/>
    <w:rsid w:val="0A567EA5"/>
    <w:rsid w:val="0AE9607D"/>
    <w:rsid w:val="0B2405B2"/>
    <w:rsid w:val="0B7C1AD3"/>
    <w:rsid w:val="0BCB101B"/>
    <w:rsid w:val="0BE3060B"/>
    <w:rsid w:val="0C3B77D8"/>
    <w:rsid w:val="0C7A4C93"/>
    <w:rsid w:val="0D020DD6"/>
    <w:rsid w:val="0D0517D1"/>
    <w:rsid w:val="0D06080E"/>
    <w:rsid w:val="0D1B77BC"/>
    <w:rsid w:val="0D673F28"/>
    <w:rsid w:val="0E003069"/>
    <w:rsid w:val="0E7C648C"/>
    <w:rsid w:val="0FD223DC"/>
    <w:rsid w:val="0FD248D2"/>
    <w:rsid w:val="0FD95DA2"/>
    <w:rsid w:val="105E3DAB"/>
    <w:rsid w:val="10726E02"/>
    <w:rsid w:val="11651F70"/>
    <w:rsid w:val="11D06229"/>
    <w:rsid w:val="11E634BC"/>
    <w:rsid w:val="12453CA6"/>
    <w:rsid w:val="127D7011"/>
    <w:rsid w:val="127E6C2A"/>
    <w:rsid w:val="12DD27C4"/>
    <w:rsid w:val="13302E9E"/>
    <w:rsid w:val="13B0296F"/>
    <w:rsid w:val="14295879"/>
    <w:rsid w:val="142F6D5C"/>
    <w:rsid w:val="14F20858"/>
    <w:rsid w:val="153730D6"/>
    <w:rsid w:val="155E5798"/>
    <w:rsid w:val="15BF4BD8"/>
    <w:rsid w:val="15FA0A40"/>
    <w:rsid w:val="161D1FC4"/>
    <w:rsid w:val="16214FC5"/>
    <w:rsid w:val="1667290B"/>
    <w:rsid w:val="167D249E"/>
    <w:rsid w:val="169554A7"/>
    <w:rsid w:val="16B40874"/>
    <w:rsid w:val="16B96F69"/>
    <w:rsid w:val="16F0551D"/>
    <w:rsid w:val="16F82F57"/>
    <w:rsid w:val="17220F6D"/>
    <w:rsid w:val="17306BF5"/>
    <w:rsid w:val="17393A2E"/>
    <w:rsid w:val="178F2599"/>
    <w:rsid w:val="179E342F"/>
    <w:rsid w:val="17DF7141"/>
    <w:rsid w:val="17FE0EBC"/>
    <w:rsid w:val="18095D54"/>
    <w:rsid w:val="182C53A4"/>
    <w:rsid w:val="185740A6"/>
    <w:rsid w:val="185863CB"/>
    <w:rsid w:val="18E35BD3"/>
    <w:rsid w:val="18F43AFF"/>
    <w:rsid w:val="18F837C9"/>
    <w:rsid w:val="190A2E13"/>
    <w:rsid w:val="19954575"/>
    <w:rsid w:val="1A2B359D"/>
    <w:rsid w:val="1A6F16BA"/>
    <w:rsid w:val="1AAA4EA9"/>
    <w:rsid w:val="1AC26B5D"/>
    <w:rsid w:val="1B045F91"/>
    <w:rsid w:val="1B1E6AED"/>
    <w:rsid w:val="1B2C4BDC"/>
    <w:rsid w:val="1B4A7CE4"/>
    <w:rsid w:val="1B88641D"/>
    <w:rsid w:val="1BBD4B9E"/>
    <w:rsid w:val="1BCB3F81"/>
    <w:rsid w:val="1BF438B0"/>
    <w:rsid w:val="1BF4784B"/>
    <w:rsid w:val="1C811762"/>
    <w:rsid w:val="1C891D92"/>
    <w:rsid w:val="1C8F6EDD"/>
    <w:rsid w:val="1C944FCF"/>
    <w:rsid w:val="1CCE1283"/>
    <w:rsid w:val="1CE84E55"/>
    <w:rsid w:val="1D051ACE"/>
    <w:rsid w:val="1D1756EF"/>
    <w:rsid w:val="1D3D6929"/>
    <w:rsid w:val="1DAB0C39"/>
    <w:rsid w:val="1DDE4A55"/>
    <w:rsid w:val="1E032043"/>
    <w:rsid w:val="1E483142"/>
    <w:rsid w:val="1E7705A7"/>
    <w:rsid w:val="1E9909B2"/>
    <w:rsid w:val="1F1169E2"/>
    <w:rsid w:val="1F400EDC"/>
    <w:rsid w:val="1F810124"/>
    <w:rsid w:val="1F8F2194"/>
    <w:rsid w:val="1FE715F0"/>
    <w:rsid w:val="1FEC58BA"/>
    <w:rsid w:val="20251746"/>
    <w:rsid w:val="20324B0E"/>
    <w:rsid w:val="20712C35"/>
    <w:rsid w:val="208C57FC"/>
    <w:rsid w:val="209E6296"/>
    <w:rsid w:val="20B67D04"/>
    <w:rsid w:val="21074B58"/>
    <w:rsid w:val="2148029C"/>
    <w:rsid w:val="214D2143"/>
    <w:rsid w:val="21711037"/>
    <w:rsid w:val="21C77D88"/>
    <w:rsid w:val="21C94AA3"/>
    <w:rsid w:val="221F3F3B"/>
    <w:rsid w:val="227C693B"/>
    <w:rsid w:val="22D95A2D"/>
    <w:rsid w:val="230E5678"/>
    <w:rsid w:val="2347720F"/>
    <w:rsid w:val="235774D9"/>
    <w:rsid w:val="23643A03"/>
    <w:rsid w:val="237F121E"/>
    <w:rsid w:val="23FD5B54"/>
    <w:rsid w:val="240B2326"/>
    <w:rsid w:val="2418581F"/>
    <w:rsid w:val="24255A25"/>
    <w:rsid w:val="243D1B19"/>
    <w:rsid w:val="2459004C"/>
    <w:rsid w:val="24E31400"/>
    <w:rsid w:val="24EA5E58"/>
    <w:rsid w:val="250D230B"/>
    <w:rsid w:val="25111915"/>
    <w:rsid w:val="259A1782"/>
    <w:rsid w:val="25BD7805"/>
    <w:rsid w:val="25C3791B"/>
    <w:rsid w:val="26680008"/>
    <w:rsid w:val="26EB5ACD"/>
    <w:rsid w:val="270851EC"/>
    <w:rsid w:val="275F258F"/>
    <w:rsid w:val="27C242E9"/>
    <w:rsid w:val="27E743FF"/>
    <w:rsid w:val="27E919A1"/>
    <w:rsid w:val="27F11CEA"/>
    <w:rsid w:val="27FD226C"/>
    <w:rsid w:val="28153AB7"/>
    <w:rsid w:val="285602A3"/>
    <w:rsid w:val="28817398"/>
    <w:rsid w:val="28AC2D88"/>
    <w:rsid w:val="2913468C"/>
    <w:rsid w:val="292A499E"/>
    <w:rsid w:val="294E5BA3"/>
    <w:rsid w:val="296C40EE"/>
    <w:rsid w:val="299F7BC7"/>
    <w:rsid w:val="29A44F9F"/>
    <w:rsid w:val="2A5D763A"/>
    <w:rsid w:val="2AB23057"/>
    <w:rsid w:val="2B325764"/>
    <w:rsid w:val="2B5E200D"/>
    <w:rsid w:val="2B71408F"/>
    <w:rsid w:val="2BBA6A48"/>
    <w:rsid w:val="2BC43EB5"/>
    <w:rsid w:val="2BED3D94"/>
    <w:rsid w:val="2C316D41"/>
    <w:rsid w:val="2D074134"/>
    <w:rsid w:val="2D53545E"/>
    <w:rsid w:val="2D6D05CE"/>
    <w:rsid w:val="2DD51485"/>
    <w:rsid w:val="2E261F59"/>
    <w:rsid w:val="2E3E50EA"/>
    <w:rsid w:val="2E783351"/>
    <w:rsid w:val="2E7D3BD9"/>
    <w:rsid w:val="2E921A9F"/>
    <w:rsid w:val="2EB94328"/>
    <w:rsid w:val="2F247AA5"/>
    <w:rsid w:val="2F6D0186"/>
    <w:rsid w:val="2FF40C4A"/>
    <w:rsid w:val="302760AF"/>
    <w:rsid w:val="306F190F"/>
    <w:rsid w:val="309E524C"/>
    <w:rsid w:val="31413FFC"/>
    <w:rsid w:val="314F1876"/>
    <w:rsid w:val="319020A5"/>
    <w:rsid w:val="31BA5FC3"/>
    <w:rsid w:val="31DC213E"/>
    <w:rsid w:val="32246D98"/>
    <w:rsid w:val="326F52FA"/>
    <w:rsid w:val="327C247D"/>
    <w:rsid w:val="32D11705"/>
    <w:rsid w:val="32E7509C"/>
    <w:rsid w:val="33401FBE"/>
    <w:rsid w:val="334818B0"/>
    <w:rsid w:val="3370719E"/>
    <w:rsid w:val="337D7725"/>
    <w:rsid w:val="342339D9"/>
    <w:rsid w:val="346F0271"/>
    <w:rsid w:val="349F2E6E"/>
    <w:rsid w:val="34DA32DC"/>
    <w:rsid w:val="3531004B"/>
    <w:rsid w:val="3568641A"/>
    <w:rsid w:val="35C56CE5"/>
    <w:rsid w:val="35C77D37"/>
    <w:rsid w:val="35CE1BF2"/>
    <w:rsid w:val="35D21728"/>
    <w:rsid w:val="36A56A3E"/>
    <w:rsid w:val="36BA5B9A"/>
    <w:rsid w:val="36D941E5"/>
    <w:rsid w:val="36F329FD"/>
    <w:rsid w:val="37190A45"/>
    <w:rsid w:val="372115AD"/>
    <w:rsid w:val="37233221"/>
    <w:rsid w:val="37524A01"/>
    <w:rsid w:val="378120F4"/>
    <w:rsid w:val="37FA054D"/>
    <w:rsid w:val="381E7C78"/>
    <w:rsid w:val="390410FD"/>
    <w:rsid w:val="39281145"/>
    <w:rsid w:val="393E325C"/>
    <w:rsid w:val="39980C72"/>
    <w:rsid w:val="3A0C5D60"/>
    <w:rsid w:val="3A1118DB"/>
    <w:rsid w:val="3AD046A3"/>
    <w:rsid w:val="3C0650D7"/>
    <w:rsid w:val="3C2B45DD"/>
    <w:rsid w:val="3C35696D"/>
    <w:rsid w:val="3C3F07D1"/>
    <w:rsid w:val="3C6823DE"/>
    <w:rsid w:val="3DBB7A2F"/>
    <w:rsid w:val="3DC97B9A"/>
    <w:rsid w:val="3DF818F9"/>
    <w:rsid w:val="3DF841A4"/>
    <w:rsid w:val="3E247042"/>
    <w:rsid w:val="3E7B7F34"/>
    <w:rsid w:val="3EEE23D6"/>
    <w:rsid w:val="3F406A55"/>
    <w:rsid w:val="3FC22338"/>
    <w:rsid w:val="401A015E"/>
    <w:rsid w:val="403064C0"/>
    <w:rsid w:val="40B50D48"/>
    <w:rsid w:val="40C47D68"/>
    <w:rsid w:val="41551B2D"/>
    <w:rsid w:val="41737F55"/>
    <w:rsid w:val="418545DA"/>
    <w:rsid w:val="418B280F"/>
    <w:rsid w:val="420F2E72"/>
    <w:rsid w:val="425D2C18"/>
    <w:rsid w:val="42673317"/>
    <w:rsid w:val="42E70AB6"/>
    <w:rsid w:val="42E84646"/>
    <w:rsid w:val="42F70B52"/>
    <w:rsid w:val="430C4E9B"/>
    <w:rsid w:val="43153D7C"/>
    <w:rsid w:val="43196A58"/>
    <w:rsid w:val="43B05324"/>
    <w:rsid w:val="43E262F0"/>
    <w:rsid w:val="43FD009C"/>
    <w:rsid w:val="44366F44"/>
    <w:rsid w:val="447564FF"/>
    <w:rsid w:val="448F0127"/>
    <w:rsid w:val="449E398A"/>
    <w:rsid w:val="45441649"/>
    <w:rsid w:val="454D1E7A"/>
    <w:rsid w:val="459B5506"/>
    <w:rsid w:val="45F46E44"/>
    <w:rsid w:val="46121976"/>
    <w:rsid w:val="461713B0"/>
    <w:rsid w:val="463A2FCA"/>
    <w:rsid w:val="46563ADB"/>
    <w:rsid w:val="46E21CBA"/>
    <w:rsid w:val="46E54501"/>
    <w:rsid w:val="4755521E"/>
    <w:rsid w:val="47586499"/>
    <w:rsid w:val="4759326F"/>
    <w:rsid w:val="479D3234"/>
    <w:rsid w:val="47DB5503"/>
    <w:rsid w:val="47E907D9"/>
    <w:rsid w:val="48034D0B"/>
    <w:rsid w:val="48213CD4"/>
    <w:rsid w:val="48AF2D72"/>
    <w:rsid w:val="48CB026E"/>
    <w:rsid w:val="48FC119B"/>
    <w:rsid w:val="490A377C"/>
    <w:rsid w:val="498953CE"/>
    <w:rsid w:val="49AE1FB3"/>
    <w:rsid w:val="49C03E62"/>
    <w:rsid w:val="49CC5DA2"/>
    <w:rsid w:val="49D06F10"/>
    <w:rsid w:val="49D400BE"/>
    <w:rsid w:val="49E06D7E"/>
    <w:rsid w:val="4A3C2056"/>
    <w:rsid w:val="4A7A5C7C"/>
    <w:rsid w:val="4AA26E94"/>
    <w:rsid w:val="4AAB077A"/>
    <w:rsid w:val="4AE35C3F"/>
    <w:rsid w:val="4B150D29"/>
    <w:rsid w:val="4B2605F6"/>
    <w:rsid w:val="4BA64DCB"/>
    <w:rsid w:val="4BCE3821"/>
    <w:rsid w:val="4BFF7C8D"/>
    <w:rsid w:val="4C514386"/>
    <w:rsid w:val="4C9E7706"/>
    <w:rsid w:val="4CC971AA"/>
    <w:rsid w:val="4CE4498C"/>
    <w:rsid w:val="4CEB4DDD"/>
    <w:rsid w:val="4D226174"/>
    <w:rsid w:val="4D636A65"/>
    <w:rsid w:val="4D6B311A"/>
    <w:rsid w:val="4DCF02AE"/>
    <w:rsid w:val="4DDB313F"/>
    <w:rsid w:val="4E6118F3"/>
    <w:rsid w:val="4E6A1483"/>
    <w:rsid w:val="4E9A253A"/>
    <w:rsid w:val="4EA70B9E"/>
    <w:rsid w:val="4EBD2F65"/>
    <w:rsid w:val="4F5B4FD1"/>
    <w:rsid w:val="4FAB2F81"/>
    <w:rsid w:val="501546A8"/>
    <w:rsid w:val="50B019BB"/>
    <w:rsid w:val="51050F4D"/>
    <w:rsid w:val="511075F3"/>
    <w:rsid w:val="51147AF2"/>
    <w:rsid w:val="517E74FD"/>
    <w:rsid w:val="518E4ABE"/>
    <w:rsid w:val="5190694B"/>
    <w:rsid w:val="51D8529C"/>
    <w:rsid w:val="51DD6E96"/>
    <w:rsid w:val="52A760CD"/>
    <w:rsid w:val="52AA54FF"/>
    <w:rsid w:val="52BC4B75"/>
    <w:rsid w:val="52FF09E8"/>
    <w:rsid w:val="52FF2B1C"/>
    <w:rsid w:val="53262948"/>
    <w:rsid w:val="534F5C35"/>
    <w:rsid w:val="53990B5E"/>
    <w:rsid w:val="54246C47"/>
    <w:rsid w:val="5442537D"/>
    <w:rsid w:val="54B23963"/>
    <w:rsid w:val="54C571B3"/>
    <w:rsid w:val="54DA472B"/>
    <w:rsid w:val="54ED4854"/>
    <w:rsid w:val="54F4447F"/>
    <w:rsid w:val="553F3B2C"/>
    <w:rsid w:val="556F2BAC"/>
    <w:rsid w:val="55916B6E"/>
    <w:rsid w:val="559B4917"/>
    <w:rsid w:val="55AA7084"/>
    <w:rsid w:val="55CD213E"/>
    <w:rsid w:val="55D90AB2"/>
    <w:rsid w:val="55F70B7C"/>
    <w:rsid w:val="55FE7462"/>
    <w:rsid w:val="560F5FD4"/>
    <w:rsid w:val="56127515"/>
    <w:rsid w:val="564049B7"/>
    <w:rsid w:val="57707798"/>
    <w:rsid w:val="577A026E"/>
    <w:rsid w:val="5785161C"/>
    <w:rsid w:val="57BA51C1"/>
    <w:rsid w:val="57CF03F9"/>
    <w:rsid w:val="582627DB"/>
    <w:rsid w:val="5838504C"/>
    <w:rsid w:val="58676DAE"/>
    <w:rsid w:val="58BD1FE3"/>
    <w:rsid w:val="58FD11CA"/>
    <w:rsid w:val="590D4E31"/>
    <w:rsid w:val="592B78C2"/>
    <w:rsid w:val="599624A1"/>
    <w:rsid w:val="59B92B65"/>
    <w:rsid w:val="59EB2EA0"/>
    <w:rsid w:val="59EC5A57"/>
    <w:rsid w:val="5A1D6D1F"/>
    <w:rsid w:val="5A524F0A"/>
    <w:rsid w:val="5A7B4D85"/>
    <w:rsid w:val="5A8519E9"/>
    <w:rsid w:val="5A910C00"/>
    <w:rsid w:val="5AA95F06"/>
    <w:rsid w:val="5AEE1160"/>
    <w:rsid w:val="5AF13093"/>
    <w:rsid w:val="5B62384D"/>
    <w:rsid w:val="5BF84A44"/>
    <w:rsid w:val="5BF96DA6"/>
    <w:rsid w:val="5C131622"/>
    <w:rsid w:val="5C2C3202"/>
    <w:rsid w:val="5C6D7910"/>
    <w:rsid w:val="5C710C60"/>
    <w:rsid w:val="5C7C5DED"/>
    <w:rsid w:val="5C92244F"/>
    <w:rsid w:val="5D0058C9"/>
    <w:rsid w:val="5D0578DC"/>
    <w:rsid w:val="5D265DE8"/>
    <w:rsid w:val="5D672D1E"/>
    <w:rsid w:val="5D88148F"/>
    <w:rsid w:val="5DFB15F8"/>
    <w:rsid w:val="5E0F0FF9"/>
    <w:rsid w:val="5E5F1F8D"/>
    <w:rsid w:val="5E7C5663"/>
    <w:rsid w:val="5E7D6F00"/>
    <w:rsid w:val="5E8347FB"/>
    <w:rsid w:val="5EE24124"/>
    <w:rsid w:val="5EE70D9C"/>
    <w:rsid w:val="5F024782"/>
    <w:rsid w:val="5F0A2B30"/>
    <w:rsid w:val="5F5271F3"/>
    <w:rsid w:val="5F5A1A79"/>
    <w:rsid w:val="5F9B108C"/>
    <w:rsid w:val="5FE306FF"/>
    <w:rsid w:val="5FE85388"/>
    <w:rsid w:val="602965E8"/>
    <w:rsid w:val="60452979"/>
    <w:rsid w:val="60581183"/>
    <w:rsid w:val="60627573"/>
    <w:rsid w:val="60627F32"/>
    <w:rsid w:val="606C2355"/>
    <w:rsid w:val="60B37B12"/>
    <w:rsid w:val="6107322C"/>
    <w:rsid w:val="61160891"/>
    <w:rsid w:val="61180404"/>
    <w:rsid w:val="61284DA4"/>
    <w:rsid w:val="614B680A"/>
    <w:rsid w:val="61626005"/>
    <w:rsid w:val="625356A9"/>
    <w:rsid w:val="626C73A3"/>
    <w:rsid w:val="6323490A"/>
    <w:rsid w:val="6375056B"/>
    <w:rsid w:val="646106DA"/>
    <w:rsid w:val="64797151"/>
    <w:rsid w:val="64A61AE6"/>
    <w:rsid w:val="64D265B1"/>
    <w:rsid w:val="64D3559F"/>
    <w:rsid w:val="64E83956"/>
    <w:rsid w:val="65047373"/>
    <w:rsid w:val="652B7DB5"/>
    <w:rsid w:val="65303C28"/>
    <w:rsid w:val="65764916"/>
    <w:rsid w:val="6582009D"/>
    <w:rsid w:val="65A35286"/>
    <w:rsid w:val="65AF2644"/>
    <w:rsid w:val="660B5067"/>
    <w:rsid w:val="66411923"/>
    <w:rsid w:val="666F46DD"/>
    <w:rsid w:val="66BF0B3C"/>
    <w:rsid w:val="66D8454C"/>
    <w:rsid w:val="66E8556D"/>
    <w:rsid w:val="67156FBB"/>
    <w:rsid w:val="672B55C3"/>
    <w:rsid w:val="673D69C9"/>
    <w:rsid w:val="678D6C51"/>
    <w:rsid w:val="67AE494C"/>
    <w:rsid w:val="67E75389"/>
    <w:rsid w:val="68BC5554"/>
    <w:rsid w:val="68DD7BBA"/>
    <w:rsid w:val="68F34D97"/>
    <w:rsid w:val="691C13F0"/>
    <w:rsid w:val="69414C48"/>
    <w:rsid w:val="695B2F02"/>
    <w:rsid w:val="698D35E5"/>
    <w:rsid w:val="69C1278B"/>
    <w:rsid w:val="69F41670"/>
    <w:rsid w:val="6A12100A"/>
    <w:rsid w:val="6A415BDA"/>
    <w:rsid w:val="6A41782D"/>
    <w:rsid w:val="6A647541"/>
    <w:rsid w:val="6A6E0577"/>
    <w:rsid w:val="6A8C7337"/>
    <w:rsid w:val="6B306DF9"/>
    <w:rsid w:val="6B6D2504"/>
    <w:rsid w:val="6BA92E11"/>
    <w:rsid w:val="6BB0738C"/>
    <w:rsid w:val="6BDA5A7B"/>
    <w:rsid w:val="6BF31064"/>
    <w:rsid w:val="6C191A57"/>
    <w:rsid w:val="6C7D2B82"/>
    <w:rsid w:val="6C80678B"/>
    <w:rsid w:val="6CC964AC"/>
    <w:rsid w:val="6CDA310D"/>
    <w:rsid w:val="6D2666B2"/>
    <w:rsid w:val="6D7B5984"/>
    <w:rsid w:val="6DDC2C44"/>
    <w:rsid w:val="6E742094"/>
    <w:rsid w:val="6E755521"/>
    <w:rsid w:val="6E86022C"/>
    <w:rsid w:val="6F216E06"/>
    <w:rsid w:val="6FB77600"/>
    <w:rsid w:val="705B2855"/>
    <w:rsid w:val="70864B06"/>
    <w:rsid w:val="70A72069"/>
    <w:rsid w:val="70F8591A"/>
    <w:rsid w:val="71576547"/>
    <w:rsid w:val="7167673E"/>
    <w:rsid w:val="71692926"/>
    <w:rsid w:val="71724917"/>
    <w:rsid w:val="71C46742"/>
    <w:rsid w:val="71F837F8"/>
    <w:rsid w:val="720F4110"/>
    <w:rsid w:val="725F07FA"/>
    <w:rsid w:val="72D631EC"/>
    <w:rsid w:val="72E61F85"/>
    <w:rsid w:val="732B132B"/>
    <w:rsid w:val="732F36A3"/>
    <w:rsid w:val="733A3613"/>
    <w:rsid w:val="737F1ADB"/>
    <w:rsid w:val="73A45FF1"/>
    <w:rsid w:val="7404331C"/>
    <w:rsid w:val="74191961"/>
    <w:rsid w:val="742D2283"/>
    <w:rsid w:val="74335202"/>
    <w:rsid w:val="74580B4A"/>
    <w:rsid w:val="745932F5"/>
    <w:rsid w:val="75D348C1"/>
    <w:rsid w:val="76225EF3"/>
    <w:rsid w:val="76626D9C"/>
    <w:rsid w:val="766824DF"/>
    <w:rsid w:val="76EC3F5E"/>
    <w:rsid w:val="770B6012"/>
    <w:rsid w:val="77116765"/>
    <w:rsid w:val="77150C32"/>
    <w:rsid w:val="77485FA4"/>
    <w:rsid w:val="778438E5"/>
    <w:rsid w:val="77D01FE6"/>
    <w:rsid w:val="781853AE"/>
    <w:rsid w:val="78273BA2"/>
    <w:rsid w:val="783779D1"/>
    <w:rsid w:val="78442D76"/>
    <w:rsid w:val="78FC0929"/>
    <w:rsid w:val="79302B89"/>
    <w:rsid w:val="796C5E78"/>
    <w:rsid w:val="799564AE"/>
    <w:rsid w:val="7A014DAD"/>
    <w:rsid w:val="7A451E3A"/>
    <w:rsid w:val="7A7A469F"/>
    <w:rsid w:val="7A885655"/>
    <w:rsid w:val="7A8D6A9C"/>
    <w:rsid w:val="7B03364B"/>
    <w:rsid w:val="7B157A58"/>
    <w:rsid w:val="7B2B4B56"/>
    <w:rsid w:val="7B2C12BF"/>
    <w:rsid w:val="7B4877F9"/>
    <w:rsid w:val="7BC91BC5"/>
    <w:rsid w:val="7BD25680"/>
    <w:rsid w:val="7CB5789A"/>
    <w:rsid w:val="7D077097"/>
    <w:rsid w:val="7D144638"/>
    <w:rsid w:val="7D23798A"/>
    <w:rsid w:val="7D371E75"/>
    <w:rsid w:val="7D3F593A"/>
    <w:rsid w:val="7D6E4DCF"/>
    <w:rsid w:val="7DD21CE8"/>
    <w:rsid w:val="7EA8639A"/>
    <w:rsid w:val="7EB87EE5"/>
    <w:rsid w:val="7EDE0A3D"/>
    <w:rsid w:val="7F056C73"/>
    <w:rsid w:val="7F084CA7"/>
    <w:rsid w:val="7F762F97"/>
    <w:rsid w:val="7FB03793"/>
    <w:rsid w:val="7FCE4C7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2">
    <w:name w:val="Heading3"/>
    <w:basedOn w:val="1"/>
    <w:next w:val="1"/>
    <w:unhideWhenUsed/>
    <w:qFormat/>
    <w:uiPriority w:val="0"/>
    <w:pPr>
      <w:keepNext/>
      <w:keepLines/>
      <w:suppressAutoHyphens/>
      <w:spacing w:before="260" w:after="260" w:line="416" w:lineRule="auto"/>
      <w:textAlignment w:val="baseline"/>
    </w:pPr>
    <w:rPr>
      <w:rFonts w:hint="default" w:ascii="Calibri" w:hAnsi="Calibri"/>
      <w:b/>
      <w:sz w:val="32"/>
      <w:szCs w:val="24"/>
    </w:rPr>
  </w:style>
  <w:style w:type="paragraph" w:styleId="5">
    <w:name w:val="Plain Text"/>
    <w:basedOn w:val="1"/>
    <w:qFormat/>
    <w:uiPriority w:val="99"/>
    <w:rPr>
      <w:rFonts w:ascii="宋体" w:eastAsia="宋体" w:cs="Courier New"/>
      <w:kern w:val="2"/>
      <w:sz w:val="21"/>
      <w:szCs w:val="21"/>
      <w:lang w:bidi="ar-SA"/>
    </w:rPr>
  </w:style>
  <w:style w:type="paragraph" w:styleId="6">
    <w:name w:val="Body Text Indent 2"/>
    <w:basedOn w:val="1"/>
    <w:qFormat/>
    <w:uiPriority w:val="0"/>
    <w:pPr>
      <w:spacing w:line="480" w:lineRule="auto"/>
      <w:ind w:left="420" w:leftChars="200"/>
    </w:pPr>
    <w:rPr>
      <w:rFonts w:ascii="Calibri" w:hAnsi="Calibri" w:eastAsia="宋体" w:cs="Times New Roman"/>
      <w:szCs w:val="24"/>
    </w:rPr>
  </w:style>
  <w:style w:type="paragraph" w:styleId="7">
    <w:name w:val="Balloon Text"/>
    <w:basedOn w:val="1"/>
    <w:link w:val="15"/>
    <w:semiHidden/>
    <w:unhideWhenUsed/>
    <w:qFormat/>
    <w:uiPriority w:val="99"/>
    <w:rPr>
      <w:sz w:val="18"/>
      <w:szCs w:val="18"/>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2">
    <w:name w:val="Strong"/>
    <w:basedOn w:val="11"/>
    <w:qFormat/>
    <w:uiPriority w:val="22"/>
    <w:rPr>
      <w:b/>
      <w:bCs/>
    </w:rPr>
  </w:style>
  <w:style w:type="character" w:customStyle="1" w:styleId="13">
    <w:name w:val="页眉 Char"/>
    <w:basedOn w:val="11"/>
    <w:link w:val="9"/>
    <w:qFormat/>
    <w:uiPriority w:val="99"/>
    <w:rPr>
      <w:sz w:val="18"/>
      <w:szCs w:val="18"/>
    </w:rPr>
  </w:style>
  <w:style w:type="character" w:customStyle="1" w:styleId="14">
    <w:name w:val="页脚 Char"/>
    <w:basedOn w:val="11"/>
    <w:link w:val="8"/>
    <w:qFormat/>
    <w:uiPriority w:val="99"/>
    <w:rPr>
      <w:sz w:val="18"/>
      <w:szCs w:val="18"/>
    </w:rPr>
  </w:style>
  <w:style w:type="character" w:customStyle="1" w:styleId="15">
    <w:name w:val="批注框文本 Char"/>
    <w:basedOn w:val="11"/>
    <w:link w:val="7"/>
    <w:semiHidden/>
    <w:qFormat/>
    <w:uiPriority w:val="99"/>
    <w:rPr>
      <w:sz w:val="18"/>
      <w:szCs w:val="18"/>
    </w:rPr>
  </w:style>
  <w:style w:type="paragraph" w:customStyle="1" w:styleId="16">
    <w:name w:val="Normal_6"/>
    <w:qFormat/>
    <w:uiPriority w:val="0"/>
    <w:pPr>
      <w:spacing w:before="120" w:after="240"/>
      <w:jc w:val="both"/>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3201</Words>
  <Characters>3611</Characters>
  <Lines>31</Lines>
  <Paragraphs>8</Paragraphs>
  <TotalTime>44</TotalTime>
  <ScaleCrop>false</ScaleCrop>
  <LinksUpToDate>false</LinksUpToDate>
  <CharactersWithSpaces>3627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2020-09-15T08:24:00Z</dcterms:created>
  <dc:creator>董志强</dc:creator>
  <cp:lastModifiedBy>Administrator</cp:lastModifiedBy>
  <cp:lastPrinted>2026-06-02T02:36:25Z</cp:lastPrinted>
  <dcterms:modified xsi:type="dcterms:W3CDTF">2026-06-02T02:57:12Z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CAD9AC554B934C90B2570BDC1E24EB1F</vt:lpwstr>
  </property>
</Properties>
</file>