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04031">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outlineLvl w:val="9"/>
        <w:rPr>
          <w:rFonts w:hint="eastAsia" w:ascii="方正小标宋简体" w:hAnsi="方正小标宋简体" w:eastAsia="方正小标宋简体" w:cs="方正小标宋简体"/>
          <w:b w:val="0"/>
          <w:bCs/>
          <w:sz w:val="40"/>
          <w:szCs w:val="40"/>
          <w:lang w:val="en-US" w:eastAsia="zh-CN"/>
        </w:rPr>
      </w:pPr>
      <w:bookmarkStart w:id="0" w:name="_Toc13016"/>
      <w:bookmarkStart w:id="1" w:name="_Toc30866"/>
      <w:bookmarkStart w:id="2" w:name="_Toc10502"/>
      <w:bookmarkStart w:id="3" w:name="_Toc15282"/>
    </w:p>
    <w:p w14:paraId="133763E1">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outlineLvl w:val="9"/>
        <w:rPr>
          <w:rFonts w:hint="eastAsia" w:ascii="方正小标宋简体" w:hAnsi="方正小标宋简体" w:eastAsia="方正小标宋简体" w:cs="方正小标宋简体"/>
          <w:b w:val="0"/>
          <w:bCs/>
          <w:sz w:val="40"/>
          <w:szCs w:val="40"/>
          <w:lang w:val="en-US" w:eastAsia="zh-CN"/>
        </w:rPr>
      </w:pPr>
    </w:p>
    <w:p w14:paraId="59A3B013">
      <w:pPr>
        <w:pStyle w:val="8"/>
        <w:bidi w:val="0"/>
        <w:ind w:left="0" w:leftChars="0" w:firstLine="0" w:firstLineChars="0"/>
        <w:jc w:val="center"/>
        <w:rPr>
          <w:rFonts w:hint="eastAsia"/>
          <w:lang w:eastAsia="zh-CN"/>
        </w:rPr>
      </w:pPr>
      <w:r>
        <w:rPr>
          <w:rFonts w:hint="eastAsia"/>
          <w:lang w:val="en-US" w:eastAsia="zh-CN"/>
        </w:rPr>
        <w:t>2025年城乡居民养老保险支出项目</w:t>
      </w:r>
      <w:r>
        <w:rPr>
          <w:rFonts w:hint="eastAsia"/>
          <w:lang w:eastAsia="zh-CN"/>
        </w:rPr>
        <w:t>绩效评价报告</w:t>
      </w:r>
      <w:bookmarkEnd w:id="0"/>
      <w:bookmarkEnd w:id="1"/>
      <w:bookmarkEnd w:id="2"/>
      <w:bookmarkEnd w:id="3"/>
    </w:p>
    <w:p w14:paraId="2DEE3FF2">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kern w:val="0"/>
          <w:sz w:val="32"/>
          <w:szCs w:val="32"/>
          <w:lang w:bidi="en-US"/>
        </w:rPr>
      </w:pPr>
    </w:p>
    <w:p w14:paraId="7E4CEA44">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kern w:val="0"/>
          <w:sz w:val="32"/>
          <w:szCs w:val="32"/>
          <w:lang w:bidi="en-US"/>
        </w:rPr>
      </w:pPr>
    </w:p>
    <w:p w14:paraId="207C41E7">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kern w:val="0"/>
          <w:sz w:val="32"/>
          <w:szCs w:val="32"/>
          <w:lang w:bidi="en-US"/>
        </w:rPr>
      </w:pPr>
    </w:p>
    <w:p w14:paraId="13E6ABE2">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kern w:val="0"/>
          <w:sz w:val="32"/>
          <w:szCs w:val="32"/>
          <w:lang w:bidi="en-US"/>
        </w:rPr>
      </w:pPr>
    </w:p>
    <w:p w14:paraId="2E9A400B">
      <w:pPr>
        <w:pStyle w:val="2"/>
        <w:rPr>
          <w:rFonts w:hint="eastAsia"/>
        </w:rPr>
      </w:pPr>
    </w:p>
    <w:p w14:paraId="1F9FFA6C">
      <w:pPr>
        <w:pStyle w:val="2"/>
        <w:rPr>
          <w:rFonts w:hint="eastAsia"/>
        </w:rPr>
      </w:pPr>
    </w:p>
    <w:p w14:paraId="110BE9E6">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kern w:val="0"/>
          <w:sz w:val="32"/>
          <w:szCs w:val="32"/>
          <w:lang w:bidi="en-US"/>
        </w:rPr>
      </w:pPr>
      <w:r>
        <w:rPr>
          <w:rFonts w:hint="eastAsia" w:ascii="方正楷体_GBK" w:hAnsi="方正楷体_GBK" w:eastAsia="方正楷体_GBK" w:cs="方正楷体_GBK"/>
          <w:b w:val="0"/>
          <w:bCs w:val="0"/>
          <w:color w:val="auto"/>
          <w:kern w:val="0"/>
          <w:sz w:val="32"/>
          <w:szCs w:val="32"/>
          <w:shd w:val="clear" w:color="auto" w:fill="auto"/>
          <w:lang w:eastAsia="zh-CN"/>
        </w:rPr>
        <w:drawing>
          <wp:anchor distT="0" distB="0" distL="114300" distR="114300" simplePos="0" relativeHeight="251669504" behindDoc="1" locked="0" layoutInCell="1" allowOverlap="1">
            <wp:simplePos x="0" y="0"/>
            <wp:positionH relativeFrom="column">
              <wp:posOffset>2377440</wp:posOffset>
            </wp:positionH>
            <wp:positionV relativeFrom="paragraph">
              <wp:posOffset>263525</wp:posOffset>
            </wp:positionV>
            <wp:extent cx="1477645" cy="1477645"/>
            <wp:effectExtent l="0" t="0" r="635" b="635"/>
            <wp:wrapNone/>
            <wp:docPr id="16" name="图片 16" descr="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公司"/>
                    <pic:cNvPicPr>
                      <a:picLocks noChangeAspect="1"/>
                    </pic:cNvPicPr>
                  </pic:nvPicPr>
                  <pic:blipFill>
                    <a:blip r:embed="rId12"/>
                    <a:stretch>
                      <a:fillRect/>
                    </a:stretch>
                  </pic:blipFill>
                  <pic:spPr>
                    <a:xfrm>
                      <a:off x="0" y="0"/>
                      <a:ext cx="1477645" cy="1477645"/>
                    </a:xfrm>
                    <a:prstGeom prst="rect">
                      <a:avLst/>
                    </a:prstGeom>
                  </pic:spPr>
                </pic:pic>
              </a:graphicData>
            </a:graphic>
          </wp:anchor>
        </w:drawing>
      </w:r>
    </w:p>
    <w:p w14:paraId="45CEB2D3">
      <w:pPr>
        <w:keepNext w:val="0"/>
        <w:keepLines w:val="0"/>
        <w:pageBreakBefore w:val="0"/>
        <w:widowControl w:val="0"/>
        <w:kinsoku w:val="0"/>
        <w:wordWrap/>
        <w:overflowPunct w:val="0"/>
        <w:topLinePunct w:val="0"/>
        <w:autoSpaceDE w:val="0"/>
        <w:autoSpaceDN w:val="0"/>
        <w:bidi w:val="0"/>
        <w:adjustRightInd/>
        <w:snapToGrid/>
        <w:spacing w:line="560" w:lineRule="exact"/>
        <w:ind w:left="3206" w:leftChars="500" w:right="0" w:hanging="1606" w:hangingChars="500"/>
        <w:jc w:val="left"/>
        <w:textAlignment w:val="auto"/>
        <w:rPr>
          <w:rFonts w:hint="eastAsia" w:ascii="方正楷体_GBK" w:hAnsi="方正楷体_GBK" w:eastAsia="方正楷体_GBK" w:cs="方正楷体_GBK"/>
          <w:b/>
          <w:bCs/>
          <w:color w:val="auto"/>
          <w:kern w:val="0"/>
          <w:sz w:val="32"/>
          <w:szCs w:val="32"/>
          <w:lang w:eastAsia="zh-CN" w:bidi="en-US"/>
        </w:rPr>
      </w:pPr>
      <w:r>
        <w:rPr>
          <w:rFonts w:hint="eastAsia" w:ascii="方正楷体_GBK" w:hAnsi="方正楷体_GBK" w:eastAsia="方正楷体_GBK" w:cs="方正楷体_GBK"/>
          <w:b/>
          <w:bCs/>
          <w:kern w:val="0"/>
          <w:sz w:val="32"/>
          <w:szCs w:val="32"/>
          <w:lang w:bidi="en-US"/>
        </w:rPr>
        <w:t>项目名称</w:t>
      </w:r>
      <w:r>
        <w:rPr>
          <w:rFonts w:hint="eastAsia" w:ascii="方正楷体_GBK" w:hAnsi="方正楷体_GBK" w:eastAsia="方正楷体_GBK" w:cs="方正楷体_GBK"/>
          <w:b/>
          <w:bCs/>
          <w:color w:val="auto"/>
          <w:kern w:val="0"/>
          <w:sz w:val="32"/>
          <w:szCs w:val="32"/>
          <w:lang w:bidi="en-US"/>
        </w:rPr>
        <w:t>：</w:t>
      </w:r>
      <w:r>
        <w:rPr>
          <w:rFonts w:hint="eastAsia" w:ascii="方正楷体_GBK" w:hAnsi="方正楷体_GBK" w:eastAsia="方正楷体_GBK" w:cs="方正楷体_GBK"/>
          <w:b/>
          <w:bCs/>
          <w:color w:val="auto"/>
          <w:kern w:val="0"/>
          <w:sz w:val="32"/>
          <w:szCs w:val="32"/>
          <w:lang w:eastAsia="zh-CN" w:bidi="en-US"/>
        </w:rPr>
        <w:t>2025年城乡居民养老保险支出项目</w:t>
      </w:r>
    </w:p>
    <w:p w14:paraId="5230CF91">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left"/>
        <w:textAlignment w:val="auto"/>
        <w:rPr>
          <w:rFonts w:hint="eastAsia" w:ascii="方正楷体_GBK" w:hAnsi="方正楷体_GBK" w:eastAsia="方正楷体_GBK" w:cs="方正楷体_GBK"/>
          <w:b/>
          <w:bCs/>
          <w:color w:val="auto"/>
          <w:kern w:val="0"/>
          <w:sz w:val="32"/>
          <w:szCs w:val="32"/>
          <w:lang w:bidi="en-US"/>
        </w:rPr>
      </w:pPr>
      <w:r>
        <w:rPr>
          <w:rFonts w:hint="eastAsia" w:ascii="方正楷体_GBK" w:hAnsi="方正楷体_GBK" w:eastAsia="方正楷体_GBK" w:cs="方正楷体_GBK"/>
          <w:b/>
          <w:bCs/>
          <w:color w:val="auto"/>
          <w:kern w:val="0"/>
          <w:sz w:val="32"/>
          <w:szCs w:val="32"/>
          <w:lang w:bidi="en-US"/>
        </w:rPr>
        <w:t>项目单位：莎车县社会保险中心（本级）</w:t>
      </w:r>
    </w:p>
    <w:p w14:paraId="3546AC1F">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left"/>
        <w:textAlignment w:val="auto"/>
        <w:rPr>
          <w:rFonts w:hint="eastAsia" w:ascii="方正楷体_GBK" w:hAnsi="方正楷体_GBK" w:eastAsia="方正楷体_GBK" w:cs="方正楷体_GBK"/>
          <w:b/>
          <w:bCs/>
          <w:color w:val="auto"/>
          <w:kern w:val="0"/>
          <w:sz w:val="32"/>
          <w:szCs w:val="32"/>
          <w:lang w:eastAsia="zh-CN" w:bidi="en-US"/>
        </w:rPr>
      </w:pPr>
      <w:r>
        <w:rPr>
          <w:rFonts w:hint="eastAsia" w:ascii="方正楷体_GBK" w:hAnsi="方正楷体_GBK" w:eastAsia="方正楷体_GBK" w:cs="方正楷体_GBK"/>
          <w:b/>
          <w:bCs/>
          <w:color w:val="auto"/>
          <w:kern w:val="0"/>
          <w:sz w:val="32"/>
          <w:szCs w:val="32"/>
          <w:lang w:bidi="en-US"/>
        </w:rPr>
        <w:t>主管部门：</w:t>
      </w:r>
      <w:r>
        <w:rPr>
          <w:rFonts w:hint="eastAsia" w:ascii="方正楷体_GBK" w:hAnsi="方正楷体_GBK" w:eastAsia="方正楷体_GBK" w:cs="方正楷体_GBK"/>
          <w:b/>
          <w:bCs/>
          <w:color w:val="auto"/>
          <w:kern w:val="0"/>
          <w:sz w:val="32"/>
          <w:szCs w:val="32"/>
          <w:lang w:eastAsia="zh-CN" w:bidi="en-US"/>
        </w:rPr>
        <w:t>莎车县</w:t>
      </w:r>
      <w:r>
        <w:rPr>
          <w:rFonts w:hint="eastAsia" w:ascii="方正楷体_GBK" w:hAnsi="方正楷体_GBK" w:eastAsia="方正楷体_GBK" w:cs="方正楷体_GBK"/>
          <w:b/>
          <w:bCs/>
          <w:color w:val="auto"/>
          <w:kern w:val="0"/>
          <w:sz w:val="32"/>
          <w:szCs w:val="32"/>
          <w:lang w:bidi="en-US"/>
        </w:rPr>
        <w:t>人力资源和社会保障</w:t>
      </w:r>
      <w:r>
        <w:rPr>
          <w:rFonts w:hint="eastAsia" w:ascii="方正楷体_GBK" w:hAnsi="方正楷体_GBK" w:eastAsia="方正楷体_GBK" w:cs="方正楷体_GBK"/>
          <w:b/>
          <w:bCs/>
          <w:color w:val="auto"/>
          <w:kern w:val="0"/>
          <w:sz w:val="32"/>
          <w:szCs w:val="32"/>
          <w:lang w:eastAsia="zh-CN" w:bidi="en-US"/>
        </w:rPr>
        <w:t>局</w:t>
      </w:r>
    </w:p>
    <w:p w14:paraId="32ACB9B0">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left"/>
        <w:textAlignment w:val="auto"/>
        <w:rPr>
          <w:rFonts w:hint="eastAsia" w:ascii="方正楷体_GBK" w:hAnsi="方正楷体_GBK" w:eastAsia="方正楷体_GBK" w:cs="方正楷体_GBK"/>
          <w:b/>
          <w:bCs/>
          <w:color w:val="auto"/>
          <w:kern w:val="0"/>
          <w:sz w:val="32"/>
          <w:szCs w:val="32"/>
        </w:rPr>
      </w:pPr>
      <w:r>
        <w:rPr>
          <w:rFonts w:hint="eastAsia" w:ascii="方正楷体_GBK" w:hAnsi="方正楷体_GBK" w:eastAsia="方正楷体_GBK" w:cs="方正楷体_GBK"/>
          <w:b/>
          <w:bCs/>
          <w:color w:val="auto"/>
          <w:kern w:val="0"/>
          <w:sz w:val="32"/>
          <w:szCs w:val="32"/>
        </w:rPr>
        <w:t>委托单位：莎车县财政局</w:t>
      </w:r>
    </w:p>
    <w:p w14:paraId="4C894482">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left"/>
        <w:textAlignment w:val="auto"/>
        <w:rPr>
          <w:rFonts w:hint="eastAsia" w:ascii="方正楷体_GBK" w:hAnsi="方正楷体_GBK" w:eastAsia="方正楷体_GBK" w:cs="方正楷体_GBK"/>
          <w:b/>
          <w:bCs/>
          <w:kern w:val="0"/>
          <w:sz w:val="32"/>
          <w:szCs w:val="32"/>
        </w:rPr>
      </w:pPr>
      <w:r>
        <w:rPr>
          <w:rFonts w:hint="eastAsia" w:ascii="方正楷体_GBK" w:hAnsi="方正楷体_GBK" w:eastAsia="方正楷体_GBK" w:cs="方正楷体_GBK"/>
          <w:b/>
          <w:bCs/>
          <w:kern w:val="0"/>
          <w:sz w:val="32"/>
          <w:szCs w:val="32"/>
        </w:rPr>
        <w:t>评价机构：新疆鸿晟达信息咨询有限公司</w:t>
      </w:r>
    </w:p>
    <w:p w14:paraId="6B6AD9C3">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1600" w:firstLineChars="500"/>
        <w:jc w:val="left"/>
        <w:textAlignment w:val="auto"/>
        <w:rPr>
          <w:rFonts w:hint="default" w:ascii="方正楷体_GBK" w:hAnsi="方正楷体_GBK" w:eastAsia="方正楷体_GBK" w:cs="方正楷体_GBK"/>
          <w:b/>
          <w:bCs/>
          <w:kern w:val="0"/>
          <w:sz w:val="32"/>
          <w:szCs w:val="32"/>
          <w:lang w:val="en-US" w:eastAsia="zh-CN"/>
        </w:rPr>
      </w:pPr>
      <w:r>
        <w:rPr>
          <w:rFonts w:hint="eastAsia" w:ascii="仿宋_GB2312" w:hAnsi="仿宋_GB2312" w:eastAsia="仿宋_GB2312" w:cs="仿宋_GB2312"/>
          <w:color w:val="auto"/>
          <w:kern w:val="0"/>
          <w:sz w:val="32"/>
          <w:szCs w:val="32"/>
          <w:shd w:val="clear" w:color="auto" w:fill="auto"/>
          <w:lang w:eastAsia="zh-CN" w:bidi="en-US"/>
        </w:rPr>
        <w:drawing>
          <wp:anchor distT="0" distB="0" distL="114300" distR="114300" simplePos="0" relativeHeight="251671552" behindDoc="0" locked="0" layoutInCell="1" allowOverlap="1">
            <wp:simplePos x="0" y="0"/>
            <wp:positionH relativeFrom="column">
              <wp:posOffset>2961640</wp:posOffset>
            </wp:positionH>
            <wp:positionV relativeFrom="paragraph">
              <wp:posOffset>46990</wp:posOffset>
            </wp:positionV>
            <wp:extent cx="529590" cy="463550"/>
            <wp:effectExtent l="0" t="0" r="3810" b="8890"/>
            <wp:wrapNone/>
            <wp:docPr id="19" name="图片 19" descr="微信图片_20260804105932_2_14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60804105932_2_14 - 副本"/>
                    <pic:cNvPicPr>
                      <a:picLocks noChangeAspect="1"/>
                    </pic:cNvPicPr>
                  </pic:nvPicPr>
                  <pic:blipFill>
                    <a:blip r:embed="rId13"/>
                    <a:stretch>
                      <a:fillRect/>
                    </a:stretch>
                  </pic:blipFill>
                  <pic:spPr>
                    <a:xfrm>
                      <a:off x="0" y="0"/>
                      <a:ext cx="529590" cy="463550"/>
                    </a:xfrm>
                    <a:prstGeom prst="rect">
                      <a:avLst/>
                    </a:prstGeom>
                  </pic:spPr>
                </pic:pic>
              </a:graphicData>
            </a:graphic>
          </wp:anchor>
        </w:drawing>
      </w:r>
      <w:r>
        <w:rPr>
          <w:rFonts w:hint="eastAsia" w:eastAsia="仿宋_GB2312"/>
          <w:color w:val="auto"/>
          <w:shd w:val="clear" w:color="auto" w:fill="auto"/>
          <w:lang w:eastAsia="zh-CN"/>
        </w:rPr>
        <w:drawing>
          <wp:anchor distT="0" distB="0" distL="114300" distR="114300" simplePos="0" relativeHeight="251670528" behindDoc="1" locked="0" layoutInCell="1" allowOverlap="1">
            <wp:simplePos x="0" y="0"/>
            <wp:positionH relativeFrom="column">
              <wp:posOffset>1991995</wp:posOffset>
            </wp:positionH>
            <wp:positionV relativeFrom="paragraph">
              <wp:posOffset>15240</wp:posOffset>
            </wp:positionV>
            <wp:extent cx="722630" cy="390525"/>
            <wp:effectExtent l="0" t="0" r="26035" b="8890"/>
            <wp:wrapNone/>
            <wp:docPr id="18" name="图片 18" descr="微信图片_20260804105932_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60804105932_2_14"/>
                    <pic:cNvPicPr>
                      <a:picLocks noChangeAspect="1"/>
                    </pic:cNvPicPr>
                  </pic:nvPicPr>
                  <pic:blipFill>
                    <a:blip r:embed="rId14"/>
                    <a:stretch>
                      <a:fillRect/>
                    </a:stretch>
                  </pic:blipFill>
                  <pic:spPr>
                    <a:xfrm rot="600000">
                      <a:off x="0" y="0"/>
                      <a:ext cx="722630" cy="390525"/>
                    </a:xfrm>
                    <a:prstGeom prst="rect">
                      <a:avLst/>
                    </a:prstGeom>
                  </pic:spPr>
                </pic:pic>
              </a:graphicData>
            </a:graphic>
          </wp:anchor>
        </w:drawing>
      </w:r>
      <w:r>
        <w:rPr>
          <w:rFonts w:hint="eastAsia" w:ascii="方正楷体_GBK" w:hAnsi="方正楷体_GBK" w:eastAsia="方正楷体_GBK" w:cs="方正楷体_GBK"/>
          <w:b/>
          <w:bCs/>
          <w:kern w:val="0"/>
          <w:sz w:val="32"/>
          <w:szCs w:val="32"/>
        </w:rPr>
        <w:t>主</w:t>
      </w:r>
      <w:r>
        <w:rPr>
          <w:rFonts w:hint="eastAsia" w:ascii="方正楷体_GBK" w:hAnsi="方正楷体_GBK" w:eastAsia="方正楷体_GBK" w:cs="方正楷体_GBK"/>
          <w:b/>
          <w:bCs/>
          <w:kern w:val="0"/>
          <w:sz w:val="32"/>
          <w:szCs w:val="32"/>
          <w:lang w:val="en-US" w:eastAsia="zh-CN"/>
        </w:rPr>
        <w:t xml:space="preserve"> </w:t>
      </w:r>
      <w:r>
        <w:rPr>
          <w:rFonts w:hint="eastAsia" w:ascii="方正楷体_GBK" w:hAnsi="方正楷体_GBK" w:eastAsia="方正楷体_GBK" w:cs="方正楷体_GBK"/>
          <w:b/>
          <w:bCs/>
          <w:kern w:val="0"/>
          <w:sz w:val="32"/>
          <w:szCs w:val="32"/>
        </w:rPr>
        <w:t>评</w:t>
      </w:r>
      <w:r>
        <w:rPr>
          <w:rFonts w:hint="eastAsia" w:ascii="方正楷体_GBK" w:hAnsi="方正楷体_GBK" w:eastAsia="方正楷体_GBK" w:cs="方正楷体_GBK"/>
          <w:b/>
          <w:bCs/>
          <w:kern w:val="0"/>
          <w:sz w:val="32"/>
          <w:szCs w:val="32"/>
          <w:lang w:val="en-US" w:eastAsia="zh-CN"/>
        </w:rPr>
        <w:t xml:space="preserve"> </w:t>
      </w:r>
      <w:r>
        <w:rPr>
          <w:rFonts w:hint="eastAsia" w:ascii="方正楷体_GBK" w:hAnsi="方正楷体_GBK" w:eastAsia="方正楷体_GBK" w:cs="方正楷体_GBK"/>
          <w:b/>
          <w:bCs/>
          <w:kern w:val="0"/>
          <w:sz w:val="32"/>
          <w:szCs w:val="32"/>
        </w:rPr>
        <w:t>人：</w:t>
      </w:r>
    </w:p>
    <w:p w14:paraId="79356236">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left"/>
        <w:textAlignment w:val="auto"/>
        <w:rPr>
          <w:rFonts w:hint="eastAsia" w:ascii="仿宋_GB2312" w:hAnsi="仿宋_GB2312" w:cs="仿宋_GB2312"/>
          <w:kern w:val="0"/>
          <w:sz w:val="32"/>
          <w:szCs w:val="32"/>
          <w:lang w:bidi="en-US"/>
        </w:rPr>
      </w:pPr>
    </w:p>
    <w:p w14:paraId="68B91BB7">
      <w:pPr>
        <w:pStyle w:val="7"/>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right="0" w:firstLine="0" w:firstLineChars="0"/>
        <w:textAlignment w:val="auto"/>
        <w:outlineLvl w:val="9"/>
        <w:rPr>
          <w:rFonts w:hint="eastAsia" w:ascii="仿宋_GB2312" w:hAnsi="仿宋_GB2312" w:cs="仿宋_GB2312"/>
          <w:kern w:val="0"/>
          <w:sz w:val="32"/>
          <w:szCs w:val="32"/>
          <w:lang w:bidi="en-US"/>
        </w:rPr>
      </w:pPr>
    </w:p>
    <w:p w14:paraId="57D27A71">
      <w:pPr>
        <w:rPr>
          <w:rFonts w:hint="eastAsia" w:ascii="仿宋_GB2312" w:hAnsi="仿宋_GB2312" w:cs="仿宋_GB2312"/>
          <w:kern w:val="0"/>
          <w:sz w:val="32"/>
          <w:szCs w:val="32"/>
          <w:lang w:bidi="en-US"/>
        </w:rPr>
      </w:pPr>
    </w:p>
    <w:p w14:paraId="6B4E7FE3">
      <w:pPr>
        <w:pStyle w:val="2"/>
        <w:rPr>
          <w:rFonts w:hint="eastAsia"/>
        </w:rPr>
      </w:pPr>
    </w:p>
    <w:p w14:paraId="3FB5887E">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Fonts w:hint="eastAsia"/>
        </w:rPr>
      </w:pPr>
    </w:p>
    <w:p w14:paraId="79C61FAE">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jc w:val="center"/>
        <w:textAlignment w:val="auto"/>
        <w:outlineLvl w:val="9"/>
        <w:rPr>
          <w:rFonts w:hint="default" w:ascii="宋体" w:hAnsi="宋体" w:eastAsia="宋体" w:cs="宋体"/>
          <w:b/>
          <w:bCs w:val="0"/>
          <w:sz w:val="32"/>
          <w:szCs w:val="32"/>
          <w:lang w:val="en-US"/>
        </w:rPr>
      </w:pPr>
      <w:r>
        <w:rPr>
          <w:rFonts w:hint="eastAsia" w:ascii="方正楷体_GBK" w:hAnsi="方正楷体_GBK" w:eastAsia="方正楷体_GBK" w:cs="方正楷体_GBK"/>
          <w:b/>
          <w:bCs/>
          <w:kern w:val="0"/>
          <w:sz w:val="32"/>
          <w:szCs w:val="32"/>
          <w:lang w:val="en-US" w:eastAsia="zh-CN" w:bidi="en-US"/>
        </w:rPr>
        <w:t>二零二六年七月</w:t>
      </w:r>
    </w:p>
    <w:p w14:paraId="16A43BB5">
      <w:pPr>
        <w:pStyle w:val="8"/>
        <w:bidi w:val="0"/>
        <w:ind w:left="0" w:leftChars="0" w:firstLine="0" w:firstLineChars="0"/>
        <w:jc w:val="center"/>
        <w:rPr>
          <w:rFonts w:hint="eastAsia" w:ascii="方正小标宋简体" w:hAnsi="方正小标宋简体" w:eastAsia="方正小标宋简体" w:cs="方正小标宋简体"/>
          <w:b w:val="0"/>
          <w:bCs/>
          <w:szCs w:val="40"/>
        </w:rPr>
      </w:pPr>
      <w:r>
        <w:rPr>
          <w:rFonts w:hint="eastAsia"/>
        </w:rPr>
        <w:t>报告摘要</w:t>
      </w:r>
    </w:p>
    <w:p w14:paraId="2787606D">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outlineLvl w:val="9"/>
        <w:rPr>
          <w:rFonts w:hint="eastAsia" w:ascii="方正仿宋_GBK" w:hAnsi="方正仿宋_GBK" w:eastAsia="方正仿宋_GBK" w:cs="方正仿宋_GBK"/>
          <w:b w:val="0"/>
          <w:bCs/>
          <w:sz w:val="32"/>
          <w:szCs w:val="32"/>
        </w:rPr>
      </w:pPr>
    </w:p>
    <w:p w14:paraId="57E1308D">
      <w:pPr>
        <w:bidi w:val="0"/>
        <w:rPr>
          <w:rFonts w:hint="eastAsia" w:ascii="方正仿宋_GBK" w:hAnsi="方正仿宋_GBK" w:eastAsia="方正仿宋_GBK" w:cs="方正仿宋_GBK"/>
          <w:b w:val="0"/>
          <w:bCs/>
          <w:color w:val="auto"/>
          <w:szCs w:val="32"/>
        </w:rPr>
      </w:pPr>
      <w:r>
        <w:rPr>
          <w:rFonts w:hint="eastAsia"/>
          <w:lang w:eastAsia="zh-CN"/>
        </w:rPr>
        <w:t>应莎车县</w:t>
      </w:r>
      <w:r>
        <w:rPr>
          <w:rFonts w:hint="eastAsia"/>
        </w:rPr>
        <w:t>财政局委托，新疆鸿晟达信息咨询有限公司对</w:t>
      </w:r>
      <w:r>
        <w:rPr>
          <w:rFonts w:hint="eastAsia"/>
          <w:lang w:val="en-US" w:eastAsia="zh-CN"/>
        </w:rPr>
        <w:t>2025</w:t>
      </w:r>
      <w:r>
        <w:rPr>
          <w:rFonts w:hint="eastAsia"/>
        </w:rPr>
        <w:t>年</w:t>
      </w:r>
      <w:r>
        <w:rPr>
          <w:rFonts w:hint="eastAsia"/>
          <w:lang w:val="en-US" w:eastAsia="zh-CN"/>
        </w:rPr>
        <w:t>莎车县社会保险中心</w:t>
      </w:r>
      <w:r>
        <w:rPr>
          <w:rFonts w:hint="eastAsia"/>
        </w:rPr>
        <w:t>实施的</w:t>
      </w:r>
      <w:r>
        <w:rPr>
          <w:rFonts w:hint="eastAsia"/>
          <w:lang w:val="en-US" w:eastAsia="zh-CN"/>
        </w:rPr>
        <w:t>2025年城乡居民养老保险支出项目</w:t>
      </w:r>
      <w:r>
        <w:rPr>
          <w:rFonts w:hint="eastAsia"/>
        </w:rPr>
        <w:t>开展了绩效评价工作并形成绩效评价报告，评价情况如下：</w:t>
      </w:r>
    </w:p>
    <w:p w14:paraId="6341B381">
      <w:pPr>
        <w:pStyle w:val="5"/>
        <w:bidi w:val="0"/>
        <w:rPr>
          <w:rFonts w:hint="default"/>
          <w:lang w:eastAsia="zh-CN"/>
        </w:rPr>
      </w:pPr>
      <w:bookmarkStart w:id="4" w:name="_Toc11188"/>
      <w:bookmarkStart w:id="5" w:name="_Toc7872"/>
      <w:bookmarkStart w:id="6" w:name="_Toc12856"/>
      <w:bookmarkStart w:id="7" w:name="_Toc23246"/>
      <w:bookmarkStart w:id="8" w:name="_Toc30455"/>
      <w:bookmarkStart w:id="9" w:name="_Toc24563"/>
      <w:bookmarkStart w:id="10" w:name="_Toc19474"/>
      <w:bookmarkStart w:id="11" w:name="_Toc12459"/>
      <w:bookmarkStart w:id="12" w:name="_Toc4178"/>
      <w:bookmarkStart w:id="13" w:name="_Toc29386"/>
      <w:bookmarkStart w:id="14" w:name="_Toc25790"/>
      <w:r>
        <w:rPr>
          <w:rFonts w:hint="eastAsia"/>
          <w:lang w:eastAsia="zh-CN"/>
        </w:rPr>
        <w:t>一、</w:t>
      </w:r>
      <w:r>
        <w:rPr>
          <w:rFonts w:hint="default"/>
          <w:lang w:eastAsia="zh-CN"/>
        </w:rPr>
        <w:t>项目概述</w:t>
      </w:r>
      <w:bookmarkEnd w:id="4"/>
      <w:bookmarkEnd w:id="5"/>
      <w:bookmarkEnd w:id="6"/>
      <w:bookmarkEnd w:id="7"/>
      <w:bookmarkEnd w:id="8"/>
      <w:bookmarkEnd w:id="9"/>
      <w:bookmarkEnd w:id="10"/>
      <w:bookmarkEnd w:id="11"/>
      <w:bookmarkEnd w:id="12"/>
      <w:bookmarkEnd w:id="13"/>
      <w:bookmarkEnd w:id="14"/>
    </w:p>
    <w:p w14:paraId="495CD016">
      <w:pPr>
        <w:pStyle w:val="6"/>
        <w:bidi w:val="0"/>
        <w:rPr>
          <w:rFonts w:hint="default"/>
          <w:lang w:eastAsia="zh-CN"/>
        </w:rPr>
      </w:pPr>
      <w:bookmarkStart w:id="15" w:name="_Toc25659"/>
      <w:bookmarkStart w:id="16" w:name="_Toc8093"/>
      <w:bookmarkStart w:id="17" w:name="_Toc22505"/>
      <w:bookmarkStart w:id="18" w:name="_Toc30600"/>
      <w:bookmarkStart w:id="19" w:name="_Toc20702"/>
      <w:bookmarkStart w:id="20" w:name="_Toc410"/>
      <w:bookmarkStart w:id="21" w:name="_Toc8998"/>
      <w:bookmarkStart w:id="22" w:name="_Toc199"/>
      <w:bookmarkStart w:id="23" w:name="_Toc21978"/>
      <w:bookmarkStart w:id="24" w:name="_Toc7090"/>
      <w:bookmarkStart w:id="25" w:name="_Toc22545"/>
      <w:r>
        <w:rPr>
          <w:rFonts w:hint="eastAsia"/>
          <w:lang w:eastAsia="zh-CN"/>
        </w:rPr>
        <w:t>（一）</w:t>
      </w:r>
      <w:r>
        <w:rPr>
          <w:rFonts w:hint="default"/>
          <w:lang w:eastAsia="zh-CN"/>
        </w:rPr>
        <w:t>项目概述</w:t>
      </w:r>
      <w:bookmarkEnd w:id="15"/>
      <w:bookmarkEnd w:id="16"/>
      <w:bookmarkEnd w:id="17"/>
      <w:bookmarkEnd w:id="18"/>
      <w:bookmarkEnd w:id="19"/>
      <w:bookmarkEnd w:id="20"/>
      <w:bookmarkEnd w:id="21"/>
      <w:bookmarkEnd w:id="22"/>
      <w:bookmarkEnd w:id="23"/>
      <w:bookmarkEnd w:id="24"/>
      <w:bookmarkEnd w:id="25"/>
    </w:p>
    <w:p w14:paraId="261CA6ED">
      <w:pPr>
        <w:bidi w:val="0"/>
        <w:rPr>
          <w:rFonts w:hint="eastAsia"/>
        </w:rPr>
      </w:pPr>
      <w:r>
        <w:rPr>
          <w:rFonts w:hint="eastAsia"/>
        </w:rPr>
        <w:t>项目名称：</w:t>
      </w:r>
      <w:r>
        <w:rPr>
          <w:rFonts w:hint="eastAsia"/>
          <w:lang w:val="en-US" w:eastAsia="zh-CN"/>
        </w:rPr>
        <w:t>2025年城乡居民养老保险支出项目（</w:t>
      </w:r>
      <w:r>
        <w:rPr>
          <w:rFonts w:hint="eastAsia"/>
        </w:rPr>
        <w:t>以下简称“该项目”或“项目”</w:t>
      </w:r>
      <w:r>
        <w:rPr>
          <w:rFonts w:hint="eastAsia"/>
          <w:lang w:eastAsia="zh-CN"/>
        </w:rPr>
        <w:t>）</w:t>
      </w:r>
    </w:p>
    <w:p w14:paraId="3EBB8EFF">
      <w:pPr>
        <w:bidi w:val="0"/>
        <w:rPr>
          <w:rFonts w:hint="eastAsia"/>
          <w:lang w:eastAsia="zh-CN"/>
        </w:rPr>
      </w:pPr>
      <w:r>
        <w:rPr>
          <w:rFonts w:hint="eastAsia"/>
        </w:rPr>
        <w:t>项目背景：</w:t>
      </w:r>
      <w:r>
        <w:rPr>
          <w:rFonts w:hint="eastAsia"/>
          <w:lang w:eastAsia="zh-CN"/>
        </w:rPr>
        <w:t>当前我国新增人口数量持续走低，人口老龄化越来越严重，养老保险问题越来越受到关注。城乡居民养老保险作为我国社会保障体系的重要组成部分，其重要性不断凸显。中国人口老龄化呈现逐步加速趋势，建立统一的城乡居民基本养老保险制度，使全体人民公平地享有基本养老保障，是中国经济社会发展的必然要求。城乡居民养老保险制度的统一是中国基本养老保险制度改革迈出的重要一步。国务院常务会议决定合并新型农村社会养老保险和城镇居民社会养老保险，建立全国统一的城乡居民基本养老保险制度，要求整合资源，推动城乡居民基本养老保险制度与其他社会保障制度相衔接，优化财政支出结构，加大财政投入，大力推行全国统一的社会保障卡，改进管理服务，做到方便利民，要求严格基金监管，严肃查处虚报冒领、挤占挪用等违法违规行为，发挥制度的保障作用，让亿万老年人心中有底、基本生活无忧。</w:t>
      </w:r>
    </w:p>
    <w:p w14:paraId="6A4A9D71">
      <w:pPr>
        <w:bidi w:val="0"/>
        <w:rPr>
          <w:rFonts w:hint="default"/>
          <w:lang w:val="en-US" w:eastAsia="zh-CN"/>
        </w:rPr>
      </w:pPr>
      <w:r>
        <w:rPr>
          <w:rFonts w:hint="eastAsia"/>
          <w:lang w:eastAsia="zh-CN"/>
        </w:rPr>
        <w:t>中央下决心推进制度并轨，并非仅停留在政策表述层面，表明对这一社会福利制度改革的高度重视，在中国迅速步入老龄化社会的背景下，基本养老保险制度城乡并轨，将有助于应对老龄化社会的挑战。城乡居民养老保险制度，不仅让亿万老年人能够“老有所依”、生活无忧，更增强了全社会的安全感和凝聚力。此外，还有利于促进人口纵向流动，对于拉动消费、鼓励创新创业，同样具有重要意义。</w:t>
      </w:r>
    </w:p>
    <w:p w14:paraId="6A6E0340">
      <w:pPr>
        <w:bidi w:val="0"/>
        <w:rPr>
          <w:rFonts w:hint="eastAsia"/>
          <w:lang w:val="en-US" w:eastAsia="zh-CN"/>
        </w:rPr>
      </w:pPr>
      <w:r>
        <w:rPr>
          <w:rFonts w:hint="eastAsia"/>
        </w:rPr>
        <w:t>项目内容：</w:t>
      </w:r>
      <w:r>
        <w:rPr>
          <w:rFonts w:hint="eastAsia"/>
          <w:lang w:eastAsia="zh-CN"/>
        </w:rPr>
        <w:t>项目预算资金</w:t>
      </w:r>
      <w:r>
        <w:rPr>
          <w:rFonts w:hint="eastAsia"/>
          <w:lang w:val="en-US" w:eastAsia="zh-CN"/>
        </w:rPr>
        <w:t>19538.19万元，根据莎车县实际情况，对符合条件的65196名城乡老年居民发放12次基础养老金，发放4352人丧葬费，个人账户支出52518人，转移支出202人，其他支出109人，通过项目实施，保障养老保险参保人员待遇，保障老人生活水平与质量。</w:t>
      </w:r>
    </w:p>
    <w:p w14:paraId="2C4A1B67">
      <w:pPr>
        <w:pStyle w:val="6"/>
        <w:numPr>
          <w:ilvl w:val="0"/>
          <w:numId w:val="1"/>
        </w:numPr>
        <w:bidi w:val="0"/>
        <w:rPr>
          <w:rFonts w:hint="default"/>
          <w:lang w:eastAsia="zh-CN"/>
        </w:rPr>
      </w:pPr>
      <w:bookmarkStart w:id="26" w:name="_Toc20007"/>
      <w:bookmarkStart w:id="27" w:name="_Toc27285"/>
      <w:bookmarkStart w:id="28" w:name="_Toc32395"/>
      <w:bookmarkStart w:id="29" w:name="_Toc22224"/>
      <w:bookmarkStart w:id="30" w:name="_Toc28162"/>
      <w:bookmarkStart w:id="31" w:name="_Toc23280"/>
      <w:bookmarkStart w:id="32" w:name="_Toc25619"/>
      <w:bookmarkStart w:id="33" w:name="_Toc2638"/>
      <w:bookmarkStart w:id="34" w:name="_Toc16292"/>
      <w:bookmarkStart w:id="35" w:name="_Toc29678"/>
      <w:bookmarkStart w:id="36" w:name="_Toc31671"/>
      <w:r>
        <w:rPr>
          <w:rFonts w:hint="default"/>
          <w:lang w:eastAsia="zh-CN"/>
        </w:rPr>
        <w:t>项目实施情况</w:t>
      </w:r>
      <w:bookmarkEnd w:id="26"/>
      <w:bookmarkEnd w:id="27"/>
      <w:bookmarkEnd w:id="28"/>
      <w:bookmarkEnd w:id="29"/>
      <w:bookmarkEnd w:id="30"/>
      <w:bookmarkEnd w:id="31"/>
      <w:bookmarkEnd w:id="32"/>
      <w:bookmarkEnd w:id="33"/>
      <w:bookmarkEnd w:id="34"/>
      <w:bookmarkEnd w:id="35"/>
      <w:bookmarkEnd w:id="36"/>
    </w:p>
    <w:p w14:paraId="67515D05">
      <w:pPr>
        <w:keepNext w:val="0"/>
        <w:keepLines w:val="0"/>
        <w:pageBreakBefore w:val="0"/>
        <w:widowControl w:val="0"/>
        <w:kinsoku/>
        <w:wordWrap/>
        <w:overflowPunct/>
        <w:topLinePunct w:val="0"/>
        <w:autoSpaceDE/>
        <w:autoSpaceDN/>
        <w:bidi w:val="0"/>
        <w:adjustRightInd/>
        <w:snapToGrid/>
        <w:textAlignment w:val="auto"/>
        <w:rPr>
          <w:rFonts w:hint="default"/>
          <w:lang w:eastAsia="zh-CN"/>
        </w:rPr>
      </w:pPr>
      <w:r>
        <w:rPr>
          <w:rFonts w:hint="eastAsia"/>
          <w:lang w:val="en-US" w:eastAsia="zh-CN"/>
        </w:rPr>
        <w:t>该项目预算资金总额为19538.19万元，其中：社会保险基金19538.19万元。根据《关于印发自治区建立统一的城乡居民基本养老保险制度实施办法的通知》（新政发〔2014〕76号）、《关于建立自治区城乡居民基本养老保险待遇确定和基础养老金正常调整机制的实施意见》（新人社发〔2018〕43号）文件要求，安排项目资金19538.19万元，资金到位率为100%。截至2025年12月31日，项目实际支出19538.19万元，资金预算执行率100%。资金用于对符合条件的65196名城乡老年居民发放12次基础养老金，发放丧葬费4352人，个人账户支出52518人，转移支出202人，其他支出109人，有效保障养老保险参保人员待遇，保障老人生活水平与质量，进一步健全服务网络，不断提高管理水平，实施全面推进和不断完善覆盖全体城乡居民的基本养老保险制度，建立基础养老金正常调整机制。该项目将基础养老金按时足额发放到位，增加城乡养老居民收入，提升生活水平，实现老有所养，促进莎车县经济发展。</w:t>
      </w:r>
    </w:p>
    <w:p w14:paraId="6C3AC179">
      <w:pPr>
        <w:pStyle w:val="6"/>
        <w:bidi w:val="0"/>
        <w:rPr>
          <w:rFonts w:hint="default"/>
          <w:lang w:eastAsia="zh-CN"/>
        </w:rPr>
      </w:pPr>
      <w:bookmarkStart w:id="37" w:name="_Toc17809"/>
      <w:bookmarkStart w:id="38" w:name="_Toc13569"/>
      <w:bookmarkStart w:id="39" w:name="_Toc14295"/>
      <w:bookmarkStart w:id="40" w:name="_Toc28792"/>
      <w:bookmarkStart w:id="41" w:name="_Toc17009"/>
      <w:bookmarkStart w:id="42" w:name="_Toc4387"/>
      <w:bookmarkStart w:id="43" w:name="_Toc5443"/>
      <w:bookmarkStart w:id="44" w:name="_Toc4543"/>
      <w:bookmarkStart w:id="45" w:name="_Toc14580"/>
      <w:bookmarkStart w:id="46" w:name="_Toc376"/>
      <w:bookmarkStart w:id="47" w:name="_Toc1717"/>
      <w:r>
        <w:rPr>
          <w:rFonts w:hint="default"/>
          <w:lang w:eastAsia="zh-CN"/>
        </w:rPr>
        <w:t>（三）绩效目标</w:t>
      </w:r>
      <w:bookmarkEnd w:id="37"/>
      <w:bookmarkEnd w:id="38"/>
      <w:bookmarkEnd w:id="39"/>
      <w:bookmarkEnd w:id="40"/>
      <w:bookmarkEnd w:id="41"/>
      <w:bookmarkEnd w:id="42"/>
      <w:bookmarkEnd w:id="43"/>
      <w:bookmarkEnd w:id="44"/>
      <w:bookmarkEnd w:id="45"/>
      <w:bookmarkEnd w:id="46"/>
      <w:bookmarkEnd w:id="47"/>
    </w:p>
    <w:p w14:paraId="2AAF8EFC">
      <w:pPr>
        <w:pStyle w:val="7"/>
        <w:bidi w:val="0"/>
        <w:rPr>
          <w:rFonts w:hint="default"/>
        </w:rPr>
      </w:pPr>
      <w:r>
        <w:rPr>
          <w:rFonts w:hint="default"/>
        </w:rPr>
        <w:t>1.总目标</w:t>
      </w:r>
    </w:p>
    <w:p w14:paraId="107444DD">
      <w:pPr>
        <w:bidi w:val="0"/>
        <w:rPr>
          <w:rFonts w:hint="default"/>
        </w:rPr>
      </w:pPr>
      <w:bookmarkStart w:id="48" w:name="_Toc14486"/>
      <w:bookmarkStart w:id="49" w:name="_Toc4348"/>
      <w:r>
        <w:rPr>
          <w:rFonts w:hint="eastAsia"/>
          <w:lang w:val="en-US" w:eastAsia="zh-CN"/>
        </w:rPr>
        <w:t>项目共下达资金19538.19万元，对符合条件的65196名城乡老年居民发放12次基础养老金，发放4352人丧葬费，个人账户支出52518人，转移支出202人，其他支出109人，通过项目实施，保障养老保险参保人员待遇，保障老人生活水平与质量。该项目实施全面推进和不断完善覆盖全体城乡居民的基本养老保险制度，建立基础养老金正常调整机制，进一步健全服务网络，不断提高管理水平。尽快将基础养老金按时足额发放到位，增加他们的收入，提升生活水平，实现老有所养，促进莎车县经济发展，维护社会和谐稳定。</w:t>
      </w:r>
      <w:bookmarkEnd w:id="48"/>
      <w:bookmarkEnd w:id="49"/>
    </w:p>
    <w:p w14:paraId="7D94A58A">
      <w:pPr>
        <w:pStyle w:val="7"/>
        <w:bidi w:val="0"/>
        <w:rPr>
          <w:rFonts w:hint="default"/>
        </w:rPr>
      </w:pPr>
      <w:r>
        <w:rPr>
          <w:rFonts w:hint="eastAsia"/>
          <w:lang w:val="en-US" w:eastAsia="zh-CN"/>
        </w:rPr>
        <w:t>2.</w:t>
      </w:r>
      <w:r>
        <w:rPr>
          <w:rFonts w:hint="default"/>
        </w:rPr>
        <w:t>年度绩效目标</w:t>
      </w:r>
    </w:p>
    <w:p w14:paraId="0BD72E3B">
      <w:pPr>
        <w:bidi w:val="0"/>
        <w:rPr>
          <w:rFonts w:hint="default"/>
        </w:rPr>
      </w:pPr>
      <w:r>
        <w:rPr>
          <w:rFonts w:hint="eastAsia"/>
          <w:lang w:val="en-US" w:eastAsia="zh-CN"/>
        </w:rPr>
        <w:t>项目共下达资金19538.19万元，对符合条件的65196名城乡老年居民发放12次基础养老金，发放4352人丧葬费，个人账户支出52518人，转移支出202人，其他支出109人，通过项目实施，保障养老保险参保人员待遇，保障老人生活水平与质量。该项目实施全面推进和不断完善覆盖全体城乡居民的基本养老保险制度，建立基础养老金正常调整机制，进一步健全服务网络，不断提高管理水平。尽快将基础养老金按时足额发放到位，增加他们的收入，提升生活水平，实现老有所养，促进莎车县经济发展，维护社会和谐稳定。</w:t>
      </w:r>
    </w:p>
    <w:p w14:paraId="1F2C9974">
      <w:pPr>
        <w:bidi w:val="0"/>
        <w:rPr>
          <w:rFonts w:hint="default"/>
          <w:lang w:val="en-US" w:eastAsia="zh-CN"/>
        </w:rPr>
      </w:pPr>
      <w:r>
        <w:rPr>
          <w:rFonts w:hint="eastAsia"/>
          <w:lang w:val="en-US" w:eastAsia="zh-CN"/>
        </w:rPr>
        <w:t>（</w:t>
      </w:r>
      <w:r>
        <w:rPr>
          <w:rFonts w:hint="default"/>
          <w:lang w:val="en-US" w:eastAsia="zh-CN"/>
        </w:rPr>
        <w:t>1</w:t>
      </w:r>
      <w:r>
        <w:rPr>
          <w:rFonts w:hint="eastAsia"/>
          <w:lang w:val="en-US" w:eastAsia="zh-CN"/>
        </w:rPr>
        <w:t>）</w:t>
      </w:r>
      <w:r>
        <w:rPr>
          <w:rFonts w:hint="default"/>
          <w:lang w:val="en-US" w:eastAsia="zh-CN"/>
        </w:rPr>
        <w:t>项目产出目标</w:t>
      </w:r>
    </w:p>
    <w:p w14:paraId="2C95B415">
      <w:pPr>
        <w:bidi w:val="0"/>
        <w:rPr>
          <w:rFonts w:hint="default"/>
          <w:lang w:val="en-US" w:eastAsia="zh-CN"/>
        </w:rPr>
      </w:pPr>
      <w:r>
        <w:rPr>
          <w:rFonts w:hint="default"/>
          <w:lang w:val="en-US" w:eastAsia="zh-CN"/>
        </w:rPr>
        <w:t>产出数量</w:t>
      </w:r>
    </w:p>
    <w:p w14:paraId="6791EFA5">
      <w:pPr>
        <w:bidi w:val="0"/>
        <w:rPr>
          <w:rFonts w:hint="default"/>
          <w:lang w:val="en-US" w:eastAsia="zh-CN"/>
        </w:rPr>
      </w:pPr>
      <w:r>
        <w:rPr>
          <w:rFonts w:hint="default"/>
          <w:lang w:val="en-US" w:eastAsia="zh-CN"/>
        </w:rPr>
        <w:t>“</w:t>
      </w:r>
      <w:r>
        <w:rPr>
          <w:rFonts w:hint="eastAsia"/>
          <w:lang w:val="en-US" w:eastAsia="zh-CN"/>
        </w:rPr>
        <w:t>符合条件的城乡老年居民基础养老金发放次数</w:t>
      </w:r>
      <w:r>
        <w:rPr>
          <w:rFonts w:hint="default"/>
          <w:lang w:val="en-US" w:eastAsia="zh-CN"/>
        </w:rPr>
        <w:t>”指标，预期指标值为</w:t>
      </w:r>
      <w:r>
        <w:rPr>
          <w:rFonts w:hint="eastAsia"/>
          <w:lang w:val="en-US" w:eastAsia="zh-CN"/>
        </w:rPr>
        <w:t>等于12次</w:t>
      </w:r>
      <w:r>
        <w:rPr>
          <w:rFonts w:hint="default"/>
          <w:lang w:val="en-US" w:eastAsia="zh-CN"/>
        </w:rPr>
        <w:t>。</w:t>
      </w:r>
    </w:p>
    <w:p w14:paraId="137D614A">
      <w:pPr>
        <w:bidi w:val="0"/>
        <w:rPr>
          <w:rFonts w:hint="default"/>
          <w:lang w:val="en-US" w:eastAsia="zh-CN"/>
        </w:rPr>
      </w:pPr>
      <w:bookmarkStart w:id="50" w:name="_Toc8645"/>
      <w:r>
        <w:rPr>
          <w:rFonts w:hint="default"/>
          <w:lang w:val="en-US" w:eastAsia="zh-CN"/>
        </w:rPr>
        <w:t>“城乡待遇发放人数”指标，预期指标值为大于等于</w:t>
      </w:r>
      <w:r>
        <w:rPr>
          <w:rFonts w:hint="eastAsia"/>
          <w:lang w:val="en-US" w:eastAsia="zh-CN"/>
        </w:rPr>
        <w:t>65196</w:t>
      </w:r>
      <w:r>
        <w:rPr>
          <w:rFonts w:hint="default"/>
          <w:lang w:val="en-US" w:eastAsia="zh-CN"/>
        </w:rPr>
        <w:t>人。</w:t>
      </w:r>
      <w:bookmarkEnd w:id="50"/>
    </w:p>
    <w:p w14:paraId="4508F567">
      <w:pPr>
        <w:bidi w:val="0"/>
        <w:rPr>
          <w:rFonts w:hint="default"/>
          <w:lang w:val="en-US" w:eastAsia="zh-CN"/>
        </w:rPr>
      </w:pPr>
      <w:bookmarkStart w:id="51" w:name="_Toc18200"/>
      <w:r>
        <w:rPr>
          <w:rFonts w:hint="default"/>
          <w:lang w:val="en-US" w:eastAsia="zh-CN"/>
        </w:rPr>
        <w:t>“丧葬发放人数”指标，预期指标值为</w:t>
      </w:r>
      <w:r>
        <w:rPr>
          <w:rFonts w:hint="eastAsia"/>
          <w:lang w:val="en-US" w:eastAsia="zh-CN"/>
        </w:rPr>
        <w:t>大于</w:t>
      </w:r>
      <w:r>
        <w:rPr>
          <w:rFonts w:hint="default"/>
          <w:lang w:val="en-US" w:eastAsia="zh-CN"/>
        </w:rPr>
        <w:t>等于</w:t>
      </w:r>
      <w:r>
        <w:rPr>
          <w:rFonts w:hint="eastAsia"/>
          <w:lang w:val="en-US" w:eastAsia="zh-CN"/>
        </w:rPr>
        <w:t>4352人</w:t>
      </w:r>
      <w:r>
        <w:rPr>
          <w:rFonts w:hint="default"/>
          <w:lang w:val="en-US" w:eastAsia="zh-CN"/>
        </w:rPr>
        <w:t>。</w:t>
      </w:r>
      <w:bookmarkEnd w:id="51"/>
    </w:p>
    <w:p w14:paraId="7BAE3CBD">
      <w:pPr>
        <w:bidi w:val="0"/>
        <w:rPr>
          <w:rFonts w:hint="default"/>
          <w:lang w:val="en-US" w:eastAsia="zh-CN"/>
        </w:rPr>
      </w:pPr>
      <w:r>
        <w:rPr>
          <w:rFonts w:hint="default"/>
          <w:lang w:val="en-US" w:eastAsia="zh-CN"/>
        </w:rPr>
        <w:t>“个人账户支出人数”指标，预期指标值为</w:t>
      </w:r>
      <w:r>
        <w:rPr>
          <w:rFonts w:hint="eastAsia"/>
          <w:lang w:val="en-US" w:eastAsia="zh-CN"/>
        </w:rPr>
        <w:t>大于</w:t>
      </w:r>
      <w:r>
        <w:rPr>
          <w:rFonts w:hint="default"/>
          <w:lang w:val="en-US" w:eastAsia="zh-CN"/>
        </w:rPr>
        <w:t>等于</w:t>
      </w:r>
      <w:r>
        <w:rPr>
          <w:rFonts w:hint="eastAsia"/>
          <w:lang w:val="en-US" w:eastAsia="zh-CN"/>
        </w:rPr>
        <w:t>52518人</w:t>
      </w:r>
      <w:r>
        <w:rPr>
          <w:rFonts w:hint="default"/>
          <w:lang w:val="en-US" w:eastAsia="zh-CN"/>
        </w:rPr>
        <w:t>。</w:t>
      </w:r>
    </w:p>
    <w:p w14:paraId="6916FB83">
      <w:pPr>
        <w:bidi w:val="0"/>
        <w:rPr>
          <w:rFonts w:hint="default"/>
          <w:lang w:val="en-US" w:eastAsia="zh-CN"/>
        </w:rPr>
      </w:pPr>
      <w:r>
        <w:rPr>
          <w:rFonts w:hint="default"/>
          <w:lang w:val="en-US" w:eastAsia="zh-CN"/>
        </w:rPr>
        <w:t>“转移支出人数”指标，预期指标值为</w:t>
      </w:r>
      <w:r>
        <w:rPr>
          <w:rFonts w:hint="eastAsia"/>
          <w:lang w:val="en-US" w:eastAsia="zh-CN"/>
        </w:rPr>
        <w:t>大于</w:t>
      </w:r>
      <w:r>
        <w:rPr>
          <w:rFonts w:hint="default"/>
          <w:lang w:val="en-US" w:eastAsia="zh-CN"/>
        </w:rPr>
        <w:t>等于</w:t>
      </w:r>
      <w:r>
        <w:rPr>
          <w:rFonts w:hint="eastAsia"/>
          <w:lang w:val="en-US" w:eastAsia="zh-CN"/>
        </w:rPr>
        <w:t>202人</w:t>
      </w:r>
      <w:r>
        <w:rPr>
          <w:rFonts w:hint="default"/>
          <w:lang w:val="en-US" w:eastAsia="zh-CN"/>
        </w:rPr>
        <w:t>。</w:t>
      </w:r>
    </w:p>
    <w:p w14:paraId="252FCE27">
      <w:pPr>
        <w:bidi w:val="0"/>
        <w:rPr>
          <w:rFonts w:hint="default"/>
          <w:lang w:val="en-US" w:eastAsia="zh-CN"/>
        </w:rPr>
      </w:pPr>
      <w:r>
        <w:rPr>
          <w:rFonts w:hint="default"/>
          <w:lang w:val="en-US" w:eastAsia="zh-CN"/>
        </w:rPr>
        <w:t>“其他支出人数”指标，预期指标值为</w:t>
      </w:r>
      <w:r>
        <w:rPr>
          <w:rFonts w:hint="eastAsia"/>
          <w:lang w:val="en-US" w:eastAsia="zh-CN"/>
        </w:rPr>
        <w:t>大于</w:t>
      </w:r>
      <w:r>
        <w:rPr>
          <w:rFonts w:hint="default"/>
          <w:lang w:val="en-US" w:eastAsia="zh-CN"/>
        </w:rPr>
        <w:t>等于</w:t>
      </w:r>
      <w:r>
        <w:rPr>
          <w:rFonts w:hint="eastAsia"/>
          <w:lang w:val="en-US" w:eastAsia="zh-CN"/>
        </w:rPr>
        <w:t>109人</w:t>
      </w:r>
      <w:r>
        <w:rPr>
          <w:rFonts w:hint="default"/>
          <w:lang w:val="en-US" w:eastAsia="zh-CN"/>
        </w:rPr>
        <w:t>。</w:t>
      </w:r>
    </w:p>
    <w:p w14:paraId="5B989AAA">
      <w:pPr>
        <w:bidi w:val="0"/>
        <w:rPr>
          <w:rFonts w:hint="default"/>
          <w:lang w:val="en-US" w:eastAsia="zh-CN"/>
        </w:rPr>
      </w:pPr>
      <w:r>
        <w:rPr>
          <w:rFonts w:hint="default"/>
          <w:lang w:val="en-US" w:eastAsia="zh-CN"/>
        </w:rPr>
        <w:t>产出质量</w:t>
      </w:r>
    </w:p>
    <w:p w14:paraId="0CE53375">
      <w:pPr>
        <w:bidi w:val="0"/>
        <w:rPr>
          <w:rFonts w:hint="default"/>
          <w:lang w:val="en-US" w:eastAsia="zh-CN"/>
        </w:rPr>
      </w:pPr>
      <w:r>
        <w:rPr>
          <w:rFonts w:hint="default"/>
          <w:lang w:val="en-US" w:eastAsia="zh-CN"/>
        </w:rPr>
        <w:t>“</w:t>
      </w:r>
      <w:r>
        <w:rPr>
          <w:rFonts w:hint="eastAsia"/>
          <w:lang w:val="en-US" w:eastAsia="zh-CN"/>
        </w:rPr>
        <w:t>符合待遇享受条件人员享受待遇率</w:t>
      </w:r>
      <w:r>
        <w:rPr>
          <w:rFonts w:hint="default"/>
          <w:lang w:val="en-US" w:eastAsia="zh-CN"/>
        </w:rPr>
        <w:t>”指标，预期指标值为</w:t>
      </w:r>
      <w:r>
        <w:rPr>
          <w:rFonts w:hint="eastAsia"/>
          <w:lang w:val="en-US" w:eastAsia="zh-CN"/>
        </w:rPr>
        <w:t>等于100%</w:t>
      </w:r>
      <w:r>
        <w:rPr>
          <w:rFonts w:hint="default"/>
          <w:lang w:val="en-US" w:eastAsia="zh-CN"/>
        </w:rPr>
        <w:t>。</w:t>
      </w:r>
    </w:p>
    <w:p w14:paraId="47A25C71">
      <w:pPr>
        <w:bidi w:val="0"/>
        <w:rPr>
          <w:rFonts w:hint="default"/>
          <w:lang w:val="en-US" w:eastAsia="zh-CN"/>
        </w:rPr>
      </w:pPr>
      <w:r>
        <w:rPr>
          <w:rFonts w:hint="default"/>
          <w:lang w:val="en-US" w:eastAsia="zh-CN"/>
        </w:rPr>
        <w:t>产出时效</w:t>
      </w:r>
    </w:p>
    <w:p w14:paraId="204F5310">
      <w:pPr>
        <w:bidi w:val="0"/>
        <w:rPr>
          <w:rFonts w:hint="default"/>
          <w:lang w:val="en-US" w:eastAsia="zh-CN"/>
        </w:rPr>
      </w:pPr>
      <w:r>
        <w:rPr>
          <w:rFonts w:hint="default"/>
          <w:lang w:val="en-US" w:eastAsia="zh-CN"/>
        </w:rPr>
        <w:t>“</w:t>
      </w:r>
      <w:r>
        <w:rPr>
          <w:rFonts w:hint="eastAsia"/>
          <w:lang w:val="en-US" w:eastAsia="zh-CN"/>
        </w:rPr>
        <w:t>基础养老金按时足额发放比率</w:t>
      </w:r>
      <w:r>
        <w:rPr>
          <w:rFonts w:hint="default"/>
          <w:lang w:val="en-US" w:eastAsia="zh-CN"/>
        </w:rPr>
        <w:t>”指标，预期指标值为</w:t>
      </w:r>
      <w:r>
        <w:rPr>
          <w:rFonts w:hint="eastAsia"/>
          <w:lang w:val="en-US" w:eastAsia="zh-CN"/>
        </w:rPr>
        <w:t>等于100%</w:t>
      </w:r>
      <w:r>
        <w:rPr>
          <w:rFonts w:hint="default"/>
          <w:lang w:val="en-US" w:eastAsia="zh-CN"/>
        </w:rPr>
        <w:t>。</w:t>
      </w:r>
    </w:p>
    <w:p w14:paraId="1117A95D">
      <w:pPr>
        <w:bidi w:val="0"/>
        <w:rPr>
          <w:rFonts w:hint="default"/>
          <w:lang w:val="en-US" w:eastAsia="zh-CN"/>
        </w:rPr>
      </w:pPr>
      <w:r>
        <w:rPr>
          <w:rFonts w:hint="eastAsia"/>
          <w:lang w:val="en-US" w:eastAsia="zh-CN"/>
        </w:rPr>
        <w:t>（</w:t>
      </w:r>
      <w:r>
        <w:rPr>
          <w:rFonts w:hint="default"/>
          <w:lang w:val="en-US" w:eastAsia="zh-CN"/>
        </w:rPr>
        <w:t>2</w:t>
      </w:r>
      <w:r>
        <w:rPr>
          <w:rFonts w:hint="eastAsia"/>
          <w:lang w:val="en-US" w:eastAsia="zh-CN"/>
        </w:rPr>
        <w:t>）</w:t>
      </w:r>
      <w:r>
        <w:rPr>
          <w:rFonts w:hint="default"/>
          <w:lang w:val="en-US" w:eastAsia="zh-CN"/>
        </w:rPr>
        <w:t>成本</w:t>
      </w:r>
      <w:r>
        <w:rPr>
          <w:rFonts w:hint="eastAsia"/>
          <w:lang w:val="en-US" w:eastAsia="zh-CN"/>
        </w:rPr>
        <w:t>目标</w:t>
      </w:r>
    </w:p>
    <w:p w14:paraId="4E69ADC9">
      <w:pPr>
        <w:bidi w:val="0"/>
        <w:rPr>
          <w:rFonts w:hint="default"/>
          <w:lang w:val="en-US" w:eastAsia="zh-CN"/>
        </w:rPr>
      </w:pPr>
      <w:r>
        <w:rPr>
          <w:rFonts w:hint="default"/>
          <w:lang w:val="en-US" w:eastAsia="zh-CN"/>
        </w:rPr>
        <w:t>“城乡居民基础养老金平均标准”指标，预期指标值为</w:t>
      </w:r>
      <w:r>
        <w:rPr>
          <w:rFonts w:hint="eastAsia"/>
          <w:lang w:val="en-US" w:eastAsia="zh-CN"/>
        </w:rPr>
        <w:t>小于</w:t>
      </w:r>
      <w:r>
        <w:rPr>
          <w:rFonts w:hint="default"/>
          <w:lang w:val="en-US" w:eastAsia="zh-CN"/>
        </w:rPr>
        <w:t>等于</w:t>
      </w:r>
      <w:r>
        <w:rPr>
          <w:rFonts w:hint="eastAsia"/>
          <w:lang w:val="en-US" w:eastAsia="zh-CN"/>
        </w:rPr>
        <w:t>2719元/年</w:t>
      </w:r>
      <w:r>
        <w:rPr>
          <w:rFonts w:hint="default"/>
          <w:lang w:val="en-US" w:eastAsia="zh-CN"/>
        </w:rPr>
        <w:t>。</w:t>
      </w:r>
    </w:p>
    <w:p w14:paraId="7ADCC330">
      <w:pPr>
        <w:bidi w:val="0"/>
        <w:rPr>
          <w:rFonts w:hint="default"/>
          <w:lang w:val="en-US" w:eastAsia="zh-CN"/>
        </w:rPr>
      </w:pPr>
      <w:r>
        <w:rPr>
          <w:rFonts w:hint="default"/>
          <w:lang w:val="en-US" w:eastAsia="zh-CN"/>
        </w:rPr>
        <w:t>“个人账户支出预计人均”指标，预期指标值为</w:t>
      </w:r>
      <w:r>
        <w:rPr>
          <w:rFonts w:hint="eastAsia"/>
          <w:lang w:val="en-US" w:eastAsia="zh-CN"/>
        </w:rPr>
        <w:t>小于</w:t>
      </w:r>
      <w:r>
        <w:rPr>
          <w:rFonts w:hint="default"/>
          <w:lang w:val="en-US" w:eastAsia="zh-CN"/>
        </w:rPr>
        <w:t>等于</w:t>
      </w:r>
      <w:r>
        <w:rPr>
          <w:rFonts w:hint="eastAsia"/>
          <w:lang w:val="en-US" w:eastAsia="zh-CN"/>
        </w:rPr>
        <w:t>244.92元</w:t>
      </w:r>
      <w:r>
        <w:rPr>
          <w:rFonts w:hint="default"/>
          <w:lang w:val="en-US" w:eastAsia="zh-CN"/>
        </w:rPr>
        <w:t>。</w:t>
      </w:r>
    </w:p>
    <w:p w14:paraId="5208F8F1">
      <w:pPr>
        <w:bidi w:val="0"/>
        <w:rPr>
          <w:rFonts w:hint="default"/>
          <w:lang w:val="en-US" w:eastAsia="zh-CN"/>
        </w:rPr>
      </w:pPr>
      <w:r>
        <w:rPr>
          <w:rFonts w:hint="default"/>
          <w:lang w:val="en-US" w:eastAsia="zh-CN"/>
        </w:rPr>
        <w:t>“丧葬补助发放人均”指标，预期指标值为</w:t>
      </w:r>
      <w:r>
        <w:rPr>
          <w:rFonts w:hint="eastAsia"/>
          <w:lang w:val="en-US" w:eastAsia="zh-CN"/>
        </w:rPr>
        <w:t>小于</w:t>
      </w:r>
      <w:r>
        <w:rPr>
          <w:rFonts w:hint="default"/>
          <w:lang w:val="en-US" w:eastAsia="zh-CN"/>
        </w:rPr>
        <w:t>等于</w:t>
      </w:r>
      <w:r>
        <w:rPr>
          <w:rFonts w:hint="eastAsia"/>
          <w:lang w:val="en-US" w:eastAsia="zh-CN"/>
        </w:rPr>
        <w:t>900元</w:t>
      </w:r>
      <w:r>
        <w:rPr>
          <w:rFonts w:hint="default"/>
          <w:lang w:val="en-US" w:eastAsia="zh-CN"/>
        </w:rPr>
        <w:t>。</w:t>
      </w:r>
    </w:p>
    <w:p w14:paraId="255A5A1D">
      <w:pPr>
        <w:bidi w:val="0"/>
        <w:rPr>
          <w:rFonts w:hint="default"/>
          <w:lang w:val="en-US" w:eastAsia="zh-CN"/>
        </w:rPr>
      </w:pPr>
      <w:r>
        <w:rPr>
          <w:rFonts w:hint="default"/>
          <w:lang w:val="en-US" w:eastAsia="zh-CN"/>
        </w:rPr>
        <w:t>“转移支出人均”指标，预期指标值为</w:t>
      </w:r>
      <w:r>
        <w:rPr>
          <w:rFonts w:hint="eastAsia"/>
          <w:lang w:val="en-US" w:eastAsia="zh-CN"/>
        </w:rPr>
        <w:t>小于</w:t>
      </w:r>
      <w:r>
        <w:rPr>
          <w:rFonts w:hint="default"/>
          <w:lang w:val="en-US" w:eastAsia="zh-CN"/>
        </w:rPr>
        <w:t>等于</w:t>
      </w:r>
      <w:r>
        <w:rPr>
          <w:rFonts w:hint="eastAsia"/>
          <w:lang w:val="en-US" w:eastAsia="zh-CN"/>
        </w:rPr>
        <w:t>3576.89元</w:t>
      </w:r>
      <w:r>
        <w:rPr>
          <w:rFonts w:hint="default"/>
          <w:lang w:val="en-US" w:eastAsia="zh-CN"/>
        </w:rPr>
        <w:t>。</w:t>
      </w:r>
    </w:p>
    <w:p w14:paraId="3F0F6989">
      <w:pPr>
        <w:bidi w:val="0"/>
        <w:rPr>
          <w:rFonts w:hint="default"/>
          <w:lang w:val="en-US" w:eastAsia="zh-CN"/>
        </w:rPr>
      </w:pPr>
      <w:r>
        <w:rPr>
          <w:rFonts w:hint="default"/>
          <w:lang w:val="en-US" w:eastAsia="zh-CN"/>
        </w:rPr>
        <w:t>“其他支出人均”指标，预期指标值为</w:t>
      </w:r>
      <w:r>
        <w:rPr>
          <w:rFonts w:hint="eastAsia"/>
          <w:lang w:val="en-US" w:eastAsia="zh-CN"/>
        </w:rPr>
        <w:t>小于</w:t>
      </w:r>
      <w:r>
        <w:rPr>
          <w:rFonts w:hint="default"/>
          <w:lang w:val="en-US" w:eastAsia="zh-CN"/>
        </w:rPr>
        <w:t>等于</w:t>
      </w:r>
      <w:r>
        <w:rPr>
          <w:rFonts w:hint="eastAsia"/>
          <w:lang w:val="en-US" w:eastAsia="zh-CN"/>
        </w:rPr>
        <w:t>2562.07元</w:t>
      </w:r>
      <w:r>
        <w:rPr>
          <w:rFonts w:hint="default"/>
          <w:lang w:val="en-US" w:eastAsia="zh-CN"/>
        </w:rPr>
        <w:t>。</w:t>
      </w:r>
    </w:p>
    <w:p w14:paraId="074165E9">
      <w:pPr>
        <w:bidi w:val="0"/>
        <w:rPr>
          <w:rFonts w:hint="default"/>
          <w:lang w:val="en-US" w:eastAsia="zh-CN"/>
        </w:rPr>
      </w:pPr>
      <w:r>
        <w:rPr>
          <w:rFonts w:hint="default"/>
          <w:lang w:val="en-US" w:eastAsia="zh-CN"/>
        </w:rPr>
        <w:t>“上解上级支出”指标，预期指标值为</w:t>
      </w:r>
      <w:r>
        <w:rPr>
          <w:rFonts w:hint="eastAsia"/>
          <w:lang w:val="en-US" w:eastAsia="zh-CN"/>
        </w:rPr>
        <w:t>小于</w:t>
      </w:r>
      <w:r>
        <w:rPr>
          <w:rFonts w:hint="default"/>
          <w:lang w:val="en-US" w:eastAsia="zh-CN"/>
        </w:rPr>
        <w:t>等于</w:t>
      </w:r>
      <w:r>
        <w:rPr>
          <w:rFonts w:hint="eastAsia"/>
          <w:lang w:val="en-US" w:eastAsia="zh-CN"/>
        </w:rPr>
        <w:t>33万元</w:t>
      </w:r>
      <w:r>
        <w:rPr>
          <w:rFonts w:hint="default"/>
          <w:lang w:val="en-US" w:eastAsia="zh-CN"/>
        </w:rPr>
        <w:t>。</w:t>
      </w:r>
    </w:p>
    <w:p w14:paraId="5B2E0A24">
      <w:pPr>
        <w:bidi w:val="0"/>
        <w:rPr>
          <w:rFonts w:hint="default"/>
          <w:lang w:val="en-US" w:eastAsia="zh-CN"/>
        </w:rPr>
      </w:pPr>
      <w:r>
        <w:rPr>
          <w:rFonts w:hint="eastAsia"/>
          <w:lang w:val="en-US" w:eastAsia="zh-CN"/>
        </w:rPr>
        <w:t>（3）</w:t>
      </w:r>
      <w:r>
        <w:rPr>
          <w:rFonts w:hint="default"/>
          <w:lang w:val="en-US" w:eastAsia="zh-CN"/>
        </w:rPr>
        <w:t>项目效益目标</w:t>
      </w:r>
    </w:p>
    <w:p w14:paraId="0A18C068">
      <w:pPr>
        <w:bidi w:val="0"/>
        <w:rPr>
          <w:rFonts w:hint="default"/>
          <w:lang w:val="en-US" w:eastAsia="zh-CN"/>
        </w:rPr>
      </w:pPr>
      <w:r>
        <w:rPr>
          <w:rFonts w:hint="default"/>
          <w:lang w:val="en-US" w:eastAsia="zh-CN"/>
        </w:rPr>
        <w:t>社会效益指标</w:t>
      </w:r>
    </w:p>
    <w:p w14:paraId="29330343">
      <w:pPr>
        <w:bidi w:val="0"/>
        <w:rPr>
          <w:rFonts w:hint="eastAsia"/>
          <w:lang w:val="en-US" w:eastAsia="zh-CN"/>
        </w:rPr>
      </w:pPr>
      <w:r>
        <w:rPr>
          <w:rFonts w:hint="default"/>
          <w:lang w:val="en-US" w:eastAsia="zh-CN"/>
        </w:rPr>
        <w:t>“</w:t>
      </w:r>
      <w:r>
        <w:rPr>
          <w:rFonts w:hint="eastAsia"/>
          <w:lang w:val="en-US" w:eastAsia="zh-CN"/>
        </w:rPr>
        <w:t>保障养老参保人员待遇</w:t>
      </w:r>
      <w:r>
        <w:rPr>
          <w:rFonts w:hint="default"/>
          <w:lang w:val="en-US" w:eastAsia="zh-CN"/>
        </w:rPr>
        <w:t>”指标，预期指标值为</w:t>
      </w:r>
      <w:r>
        <w:rPr>
          <w:rFonts w:hint="eastAsia"/>
          <w:lang w:val="en-US" w:eastAsia="zh-CN"/>
        </w:rPr>
        <w:t>有效保障</w:t>
      </w:r>
      <w:r>
        <w:rPr>
          <w:rFonts w:hint="default"/>
          <w:lang w:val="en-US" w:eastAsia="zh-CN"/>
        </w:rPr>
        <w:t>。</w:t>
      </w:r>
    </w:p>
    <w:p w14:paraId="6B51CEA1">
      <w:pPr>
        <w:bidi w:val="0"/>
        <w:rPr>
          <w:rFonts w:hint="default"/>
          <w:lang w:val="en-US" w:eastAsia="zh-CN"/>
        </w:rPr>
      </w:pPr>
      <w:r>
        <w:rPr>
          <w:rFonts w:hint="eastAsia"/>
          <w:lang w:val="en-US" w:eastAsia="zh-CN"/>
        </w:rPr>
        <w:t>（4）满意度目标</w:t>
      </w:r>
    </w:p>
    <w:p w14:paraId="12392A41">
      <w:pPr>
        <w:bidi w:val="0"/>
        <w:rPr>
          <w:rFonts w:hint="default"/>
          <w:lang w:val="en-US" w:eastAsia="zh-CN"/>
        </w:rPr>
      </w:pPr>
      <w:r>
        <w:rPr>
          <w:rFonts w:hint="default"/>
          <w:lang w:val="en-US" w:eastAsia="zh-CN"/>
        </w:rPr>
        <w:t>服务对象满意度指标</w:t>
      </w:r>
    </w:p>
    <w:p w14:paraId="73F1EC02">
      <w:pPr>
        <w:bidi w:val="0"/>
        <w:rPr>
          <w:rFonts w:hint="default"/>
        </w:rPr>
      </w:pPr>
      <w:r>
        <w:rPr>
          <w:rFonts w:hint="default"/>
          <w:lang w:val="en-US" w:eastAsia="zh-CN"/>
        </w:rPr>
        <w:t>“</w:t>
      </w:r>
      <w:r>
        <w:rPr>
          <w:rFonts w:hint="eastAsia"/>
          <w:lang w:val="en-US" w:eastAsia="zh-CN"/>
        </w:rPr>
        <w:t>城乡参保人员满意度</w:t>
      </w:r>
      <w:r>
        <w:rPr>
          <w:rFonts w:hint="default"/>
          <w:lang w:val="en-US" w:eastAsia="zh-CN"/>
        </w:rPr>
        <w:t>”指标，预期指标值为</w:t>
      </w:r>
      <w:r>
        <w:rPr>
          <w:rFonts w:hint="eastAsia"/>
          <w:lang w:val="en-US" w:eastAsia="zh-CN"/>
        </w:rPr>
        <w:t>大于等于95%</w:t>
      </w:r>
      <w:r>
        <w:rPr>
          <w:rFonts w:hint="default"/>
          <w:lang w:val="en-US" w:eastAsia="zh-CN"/>
        </w:rPr>
        <w:t>。</w:t>
      </w:r>
    </w:p>
    <w:p w14:paraId="2B694119">
      <w:pPr>
        <w:pStyle w:val="5"/>
        <w:bidi w:val="0"/>
        <w:rPr>
          <w:rFonts w:hint="default"/>
          <w:lang w:eastAsia="zh-CN"/>
        </w:rPr>
      </w:pPr>
      <w:bookmarkStart w:id="52" w:name="_Toc21147"/>
      <w:bookmarkStart w:id="53" w:name="_Toc15557"/>
      <w:bookmarkStart w:id="54" w:name="_Toc5717"/>
      <w:bookmarkStart w:id="55" w:name="_Toc1168"/>
      <w:bookmarkStart w:id="56" w:name="_Toc6511"/>
      <w:bookmarkStart w:id="57" w:name="_Toc25241"/>
      <w:bookmarkStart w:id="58" w:name="_Toc1286"/>
      <w:bookmarkStart w:id="59" w:name="_Toc24967"/>
      <w:bookmarkStart w:id="60" w:name="_Toc10160"/>
      <w:bookmarkStart w:id="61" w:name="_Toc16336"/>
      <w:bookmarkStart w:id="62" w:name="_Toc16451"/>
      <w:r>
        <w:rPr>
          <w:rFonts w:hint="default"/>
          <w:lang w:eastAsia="zh-CN"/>
        </w:rPr>
        <w:t>二、绩效评价情况</w:t>
      </w:r>
      <w:bookmarkEnd w:id="52"/>
      <w:bookmarkEnd w:id="53"/>
      <w:bookmarkEnd w:id="54"/>
      <w:bookmarkEnd w:id="55"/>
      <w:bookmarkEnd w:id="56"/>
      <w:bookmarkEnd w:id="57"/>
      <w:bookmarkEnd w:id="58"/>
      <w:bookmarkEnd w:id="59"/>
      <w:bookmarkEnd w:id="60"/>
      <w:bookmarkEnd w:id="61"/>
      <w:bookmarkEnd w:id="62"/>
    </w:p>
    <w:p w14:paraId="5F5B105F">
      <w:pPr>
        <w:pStyle w:val="6"/>
        <w:bidi w:val="0"/>
        <w:rPr>
          <w:rFonts w:hint="default"/>
          <w:lang w:eastAsia="zh-CN"/>
        </w:rPr>
      </w:pPr>
      <w:bookmarkStart w:id="63" w:name="_Toc19299"/>
      <w:bookmarkStart w:id="64" w:name="_Toc8014"/>
      <w:bookmarkStart w:id="65" w:name="_Toc26931"/>
      <w:bookmarkStart w:id="66" w:name="_Toc15264"/>
      <w:bookmarkStart w:id="67" w:name="_Toc10329"/>
      <w:bookmarkStart w:id="68" w:name="_Toc3889"/>
      <w:bookmarkStart w:id="69" w:name="_Toc29248"/>
      <w:bookmarkStart w:id="70" w:name="_Toc5189"/>
      <w:bookmarkStart w:id="71" w:name="_Toc20431"/>
      <w:bookmarkStart w:id="72" w:name="_Toc18401"/>
      <w:bookmarkStart w:id="73" w:name="_Toc28346"/>
      <w:r>
        <w:rPr>
          <w:rFonts w:hint="default"/>
          <w:lang w:eastAsia="zh-CN"/>
        </w:rPr>
        <w:t>（一）评价结论</w:t>
      </w:r>
      <w:bookmarkEnd w:id="63"/>
      <w:bookmarkEnd w:id="64"/>
      <w:bookmarkEnd w:id="65"/>
      <w:bookmarkEnd w:id="66"/>
      <w:bookmarkEnd w:id="67"/>
      <w:bookmarkEnd w:id="68"/>
      <w:bookmarkEnd w:id="69"/>
      <w:bookmarkEnd w:id="70"/>
      <w:bookmarkEnd w:id="71"/>
      <w:bookmarkEnd w:id="72"/>
      <w:bookmarkEnd w:id="73"/>
    </w:p>
    <w:p w14:paraId="13FF07C6">
      <w:pPr>
        <w:bidi w:val="0"/>
        <w:rPr>
          <w:rFonts w:hint="eastAsia"/>
        </w:rPr>
      </w:pPr>
      <w:r>
        <w:rPr>
          <w:rFonts w:hint="eastAsia"/>
        </w:rPr>
        <w:t>依据</w:t>
      </w:r>
      <w:r>
        <w:rPr>
          <w:rFonts w:hint="eastAsia"/>
          <w:lang w:eastAsia="zh-CN"/>
        </w:rPr>
        <w:t>《中共中央</w:t>
      </w:r>
      <w:r>
        <w:rPr>
          <w:rFonts w:hint="eastAsia"/>
          <w:lang w:val="en-US" w:eastAsia="zh-CN"/>
        </w:rPr>
        <w:t xml:space="preserve"> </w:t>
      </w:r>
      <w:r>
        <w:rPr>
          <w:rFonts w:hint="eastAsia"/>
          <w:lang w:eastAsia="zh-CN"/>
        </w:rPr>
        <w:t>国务院</w:t>
      </w:r>
      <w:r>
        <w:rPr>
          <w:rFonts w:hint="eastAsia"/>
        </w:rPr>
        <w:t>关于全面实施预算绩效管理的意见》及《关于进一步加强和规范喀什地区项目支出“全过程”预算绩效管理结果应用的通知》（喀地财绩〔2022〕2号）文件，绩效评价总分设置为100分，划分为四档：90（含）-100分为优、80（含）-90分为良、</w:t>
      </w:r>
      <w:r>
        <w:rPr>
          <w:rFonts w:hint="eastAsia"/>
          <w:lang w:val="en-US" w:eastAsia="zh-CN"/>
        </w:rPr>
        <w:t>70</w:t>
      </w:r>
      <w:r>
        <w:rPr>
          <w:rFonts w:hint="eastAsia"/>
        </w:rPr>
        <w:t>（含）-80分为中、</w:t>
      </w:r>
      <w:r>
        <w:rPr>
          <w:rFonts w:hint="eastAsia"/>
          <w:lang w:val="en-US" w:eastAsia="zh-CN"/>
        </w:rPr>
        <w:t>70</w:t>
      </w:r>
      <w:r>
        <w:rPr>
          <w:rFonts w:hint="eastAsia"/>
        </w:rPr>
        <w:t>分以下为差。</w:t>
      </w:r>
    </w:p>
    <w:p w14:paraId="7C6F5D29">
      <w:pPr>
        <w:bidi w:val="0"/>
        <w:rPr>
          <w:rFonts w:hint="eastAsia"/>
        </w:rPr>
      </w:pPr>
      <w:r>
        <w:rPr>
          <w:rFonts w:hint="eastAsia"/>
        </w:rPr>
        <w:t>运用由项目组制订评价指标体系及评分标准，该项目最终评分</w:t>
      </w:r>
      <w:r>
        <w:rPr>
          <w:rFonts w:hint="eastAsia"/>
          <w:lang w:val="en-US" w:eastAsia="zh-CN"/>
        </w:rPr>
        <w:t>99</w:t>
      </w:r>
      <w:r>
        <w:rPr>
          <w:rFonts w:hint="eastAsia"/>
        </w:rPr>
        <w:t>分，绩效评级为“</w:t>
      </w:r>
      <w:r>
        <w:rPr>
          <w:rFonts w:hint="eastAsia"/>
          <w:lang w:eastAsia="zh-CN"/>
        </w:rPr>
        <w:t>优</w:t>
      </w:r>
      <w:r>
        <w:rPr>
          <w:rFonts w:hint="eastAsia"/>
        </w:rPr>
        <w:t>”，具体得分情况为：项目决策</w:t>
      </w:r>
      <w:r>
        <w:rPr>
          <w:rFonts w:hint="eastAsia"/>
          <w:lang w:val="en-US" w:eastAsia="zh-CN"/>
        </w:rPr>
        <w:t>20</w:t>
      </w:r>
      <w:r>
        <w:rPr>
          <w:rFonts w:hint="eastAsia"/>
        </w:rPr>
        <w:t>分、项目过程</w:t>
      </w:r>
      <w:r>
        <w:rPr>
          <w:rFonts w:hint="eastAsia"/>
          <w:lang w:val="en-US" w:eastAsia="zh-CN"/>
        </w:rPr>
        <w:t>19</w:t>
      </w:r>
      <w:r>
        <w:rPr>
          <w:rFonts w:hint="eastAsia"/>
        </w:rPr>
        <w:t>分、项目产出</w:t>
      </w:r>
      <w:r>
        <w:rPr>
          <w:rFonts w:hint="eastAsia"/>
          <w:lang w:val="en-US" w:eastAsia="zh-CN"/>
        </w:rPr>
        <w:t>40</w:t>
      </w:r>
      <w:r>
        <w:rPr>
          <w:rFonts w:hint="eastAsia"/>
        </w:rPr>
        <w:t>分、项目效益</w:t>
      </w:r>
      <w:r>
        <w:rPr>
          <w:rFonts w:hint="eastAsia"/>
          <w:lang w:val="en-US" w:eastAsia="zh-CN"/>
        </w:rPr>
        <w:t>20</w:t>
      </w:r>
      <w:r>
        <w:rPr>
          <w:rFonts w:hint="eastAsia"/>
        </w:rPr>
        <w:t>分。</w:t>
      </w:r>
    </w:p>
    <w:p w14:paraId="3885A4D6">
      <w:pPr>
        <w:pStyle w:val="6"/>
        <w:bidi w:val="0"/>
        <w:rPr>
          <w:rFonts w:hint="default"/>
          <w:lang w:eastAsia="zh-CN"/>
        </w:rPr>
      </w:pPr>
      <w:bookmarkStart w:id="74" w:name="_Toc10327"/>
      <w:bookmarkStart w:id="75" w:name="_Toc26841"/>
      <w:bookmarkStart w:id="76" w:name="_Toc30282"/>
      <w:bookmarkStart w:id="77" w:name="_Toc1993"/>
      <w:bookmarkStart w:id="78" w:name="_Toc3870"/>
      <w:bookmarkStart w:id="79" w:name="_Toc31763"/>
      <w:bookmarkStart w:id="80" w:name="_Toc4447"/>
      <w:bookmarkStart w:id="81" w:name="_Toc17683"/>
      <w:bookmarkStart w:id="82" w:name="_Toc19133"/>
      <w:bookmarkStart w:id="83" w:name="_Toc10933"/>
      <w:bookmarkStart w:id="84" w:name="_Toc5495"/>
      <w:r>
        <w:rPr>
          <w:rFonts w:hint="eastAsia"/>
          <w:lang w:eastAsia="zh-CN"/>
        </w:rPr>
        <w:t>（二）</w:t>
      </w:r>
      <w:r>
        <w:rPr>
          <w:rFonts w:hint="default"/>
          <w:lang w:eastAsia="zh-CN"/>
        </w:rPr>
        <w:t>预算执行情况</w:t>
      </w:r>
      <w:bookmarkEnd w:id="74"/>
      <w:bookmarkEnd w:id="75"/>
      <w:bookmarkEnd w:id="76"/>
      <w:bookmarkEnd w:id="77"/>
      <w:bookmarkEnd w:id="78"/>
      <w:bookmarkEnd w:id="79"/>
      <w:bookmarkEnd w:id="80"/>
      <w:bookmarkEnd w:id="81"/>
      <w:bookmarkEnd w:id="82"/>
      <w:bookmarkEnd w:id="83"/>
      <w:bookmarkEnd w:id="84"/>
    </w:p>
    <w:p w14:paraId="29A376E2">
      <w:pPr>
        <w:bidi w:val="0"/>
        <w:rPr>
          <w:rFonts w:hint="default"/>
          <w:lang w:eastAsia="zh-CN"/>
        </w:rPr>
      </w:pPr>
      <w:r>
        <w:rPr>
          <w:rFonts w:hint="eastAsia"/>
        </w:rPr>
        <w:t>该项目预算资金总额为</w:t>
      </w:r>
      <w:r>
        <w:rPr>
          <w:rFonts w:hint="eastAsia"/>
          <w:lang w:val="en-US" w:eastAsia="zh-CN"/>
        </w:rPr>
        <w:t>19538.19</w:t>
      </w:r>
      <w:r>
        <w:rPr>
          <w:rFonts w:hint="eastAsia"/>
        </w:rPr>
        <w:t>万元，其中：</w:t>
      </w:r>
      <w:r>
        <w:rPr>
          <w:rFonts w:hint="eastAsia"/>
          <w:lang w:eastAsia="zh-CN"/>
        </w:rPr>
        <w:t>社会保险基金</w:t>
      </w:r>
      <w:r>
        <w:rPr>
          <w:rFonts w:hint="eastAsia"/>
          <w:lang w:val="en-US" w:eastAsia="zh-CN"/>
        </w:rPr>
        <w:t>19538.19</w:t>
      </w:r>
      <w:r>
        <w:rPr>
          <w:rFonts w:hint="eastAsia"/>
          <w:lang w:eastAsia="zh-CN"/>
        </w:rPr>
        <w:t>万元</w:t>
      </w:r>
      <w:r>
        <w:rPr>
          <w:rFonts w:hint="eastAsia"/>
        </w:rPr>
        <w:t>；实际到位资金</w:t>
      </w:r>
      <w:r>
        <w:rPr>
          <w:rFonts w:hint="eastAsia"/>
          <w:lang w:val="en-US" w:eastAsia="zh-CN"/>
        </w:rPr>
        <w:t>19538.19</w:t>
      </w:r>
      <w:r>
        <w:rPr>
          <w:rFonts w:hint="eastAsia"/>
        </w:rPr>
        <w:t>万元，其中：</w:t>
      </w:r>
      <w:r>
        <w:rPr>
          <w:rFonts w:hint="eastAsia"/>
          <w:lang w:eastAsia="zh-CN"/>
        </w:rPr>
        <w:t>社会保险基金</w:t>
      </w:r>
      <w:r>
        <w:rPr>
          <w:rFonts w:hint="eastAsia"/>
          <w:lang w:val="en-US" w:eastAsia="zh-CN"/>
        </w:rPr>
        <w:t>19538.19</w:t>
      </w:r>
      <w:r>
        <w:rPr>
          <w:rFonts w:hint="eastAsia"/>
          <w:lang w:eastAsia="zh-CN"/>
        </w:rPr>
        <w:t>万元，</w:t>
      </w:r>
      <w:r>
        <w:rPr>
          <w:rFonts w:hint="eastAsia"/>
        </w:rPr>
        <w:t>资金到位率为</w:t>
      </w:r>
      <w:r>
        <w:rPr>
          <w:rFonts w:hint="eastAsia"/>
          <w:lang w:val="en-US" w:eastAsia="zh-CN"/>
        </w:rPr>
        <w:t>100</w:t>
      </w:r>
      <w:r>
        <w:rPr>
          <w:rFonts w:hint="eastAsia"/>
        </w:rPr>
        <w:t>%；该项目实际支出资金总额为</w:t>
      </w:r>
      <w:r>
        <w:rPr>
          <w:rFonts w:hint="eastAsia"/>
          <w:lang w:val="en-US" w:eastAsia="zh-CN"/>
        </w:rPr>
        <w:t>19538.19</w:t>
      </w:r>
      <w:r>
        <w:rPr>
          <w:rFonts w:hint="eastAsia"/>
        </w:rPr>
        <w:t>万元，预算资金执行率为</w:t>
      </w:r>
      <w:r>
        <w:rPr>
          <w:rFonts w:hint="eastAsia"/>
          <w:lang w:val="en-US" w:eastAsia="zh-CN"/>
        </w:rPr>
        <w:t>100</w:t>
      </w:r>
      <w:r>
        <w:rPr>
          <w:rFonts w:hint="eastAsia"/>
        </w:rPr>
        <w:t>%。</w:t>
      </w:r>
    </w:p>
    <w:p w14:paraId="2485BE6E">
      <w:pPr>
        <w:pStyle w:val="6"/>
        <w:numPr>
          <w:ilvl w:val="0"/>
          <w:numId w:val="1"/>
        </w:numPr>
        <w:bidi w:val="0"/>
        <w:rPr>
          <w:rFonts w:hint="default"/>
          <w:lang w:eastAsia="zh-CN"/>
        </w:rPr>
      </w:pPr>
      <w:bookmarkStart w:id="85" w:name="_Toc25101"/>
      <w:bookmarkStart w:id="86" w:name="_Toc5846"/>
      <w:bookmarkStart w:id="87" w:name="_Toc3938"/>
      <w:bookmarkStart w:id="88" w:name="_Toc8802"/>
      <w:bookmarkStart w:id="89" w:name="_Toc12186"/>
      <w:bookmarkStart w:id="90" w:name="_Toc21596"/>
      <w:bookmarkStart w:id="91" w:name="_Toc1102"/>
      <w:bookmarkStart w:id="92" w:name="_Toc5534"/>
      <w:bookmarkStart w:id="93" w:name="_Toc31095"/>
      <w:bookmarkStart w:id="94" w:name="_Toc26815"/>
      <w:bookmarkStart w:id="95" w:name="_Toc30802"/>
      <w:r>
        <w:rPr>
          <w:rFonts w:hint="default"/>
          <w:lang w:eastAsia="zh-CN"/>
        </w:rPr>
        <w:t>项目绩效情况</w:t>
      </w:r>
      <w:bookmarkEnd w:id="85"/>
      <w:bookmarkEnd w:id="86"/>
      <w:bookmarkEnd w:id="87"/>
      <w:bookmarkEnd w:id="88"/>
      <w:bookmarkEnd w:id="89"/>
      <w:bookmarkEnd w:id="90"/>
      <w:bookmarkEnd w:id="91"/>
      <w:bookmarkEnd w:id="92"/>
      <w:bookmarkEnd w:id="93"/>
      <w:bookmarkEnd w:id="94"/>
      <w:bookmarkEnd w:id="95"/>
    </w:p>
    <w:p w14:paraId="4A1D56DA">
      <w:pPr>
        <w:bidi w:val="0"/>
        <w:rPr>
          <w:rFonts w:hint="default"/>
          <w:lang w:eastAsia="zh-CN"/>
        </w:rPr>
      </w:pPr>
      <w:r>
        <w:rPr>
          <w:rFonts w:hint="eastAsia"/>
          <w:lang w:val="en-US" w:eastAsia="zh-CN"/>
        </w:rPr>
        <w:t>该项目预算资金总额为19538.19万元，其中：</w:t>
      </w:r>
      <w:r>
        <w:rPr>
          <w:rFonts w:hint="eastAsia"/>
          <w:lang w:eastAsia="zh-CN"/>
        </w:rPr>
        <w:t>社会保险基金</w:t>
      </w:r>
      <w:r>
        <w:rPr>
          <w:rFonts w:hint="eastAsia"/>
          <w:lang w:val="en-US" w:eastAsia="zh-CN"/>
        </w:rPr>
        <w:t>19538.19</w:t>
      </w:r>
      <w:r>
        <w:rPr>
          <w:rFonts w:hint="eastAsia"/>
          <w:lang w:eastAsia="zh-CN"/>
        </w:rPr>
        <w:t>万元</w:t>
      </w:r>
      <w:r>
        <w:rPr>
          <w:rFonts w:hint="eastAsia"/>
          <w:lang w:val="en-US" w:eastAsia="zh-CN"/>
        </w:rPr>
        <w:t>。根据《关于印发自治区建立统一的城乡居民基本养老保险制度实施办法的通知》（新政发〔2014〕76号）、《关于建立自治区城乡居民基本养老保险待遇确定和基础养老金正常调整机制的实施意见》（新人社发〔2018〕43号）文件要求，实际到位资金19538.19万元，其中：</w:t>
      </w:r>
      <w:r>
        <w:rPr>
          <w:rFonts w:hint="eastAsia"/>
          <w:lang w:eastAsia="zh-CN"/>
        </w:rPr>
        <w:t>社会保险基金</w:t>
      </w:r>
      <w:r>
        <w:rPr>
          <w:rFonts w:hint="eastAsia"/>
          <w:lang w:val="en-US" w:eastAsia="zh-CN"/>
        </w:rPr>
        <w:t>19538.19</w:t>
      </w:r>
      <w:r>
        <w:rPr>
          <w:rFonts w:hint="eastAsia"/>
          <w:lang w:eastAsia="zh-CN"/>
        </w:rPr>
        <w:t>万元，</w:t>
      </w:r>
      <w:r>
        <w:rPr>
          <w:rFonts w:hint="eastAsia"/>
          <w:lang w:val="en-US" w:eastAsia="zh-CN"/>
        </w:rPr>
        <w:t>资金到位率为100%。截至2025年12月31日，项目实际支出19538.19万元，资金预算执行率100%。资金用于对符合条件的65196名城乡老年居民发放12次基础养老金，发放丧葬费4352人，个人账户支出52518人，转移支出202人，其他支出109人，有效保障养老保险参保人员待遇，保障老人生活水平与质量。</w:t>
      </w:r>
    </w:p>
    <w:p w14:paraId="31131192">
      <w:pPr>
        <w:pStyle w:val="5"/>
        <w:bidi w:val="0"/>
        <w:rPr>
          <w:rFonts w:hint="default"/>
          <w:lang w:eastAsia="zh-CN"/>
        </w:rPr>
      </w:pPr>
      <w:bookmarkStart w:id="96" w:name="_Toc27509"/>
      <w:bookmarkStart w:id="97" w:name="_Toc16163"/>
      <w:bookmarkStart w:id="98" w:name="_Toc5306"/>
      <w:bookmarkStart w:id="99" w:name="_Toc4103"/>
      <w:bookmarkStart w:id="100" w:name="_Toc11939"/>
      <w:bookmarkStart w:id="101" w:name="_Toc6626"/>
      <w:bookmarkStart w:id="102" w:name="_Toc133"/>
      <w:bookmarkStart w:id="103" w:name="_Toc26139"/>
      <w:bookmarkStart w:id="104" w:name="_Toc14872"/>
      <w:bookmarkStart w:id="105" w:name="_Toc25422"/>
      <w:bookmarkStart w:id="106" w:name="_Toc25485"/>
      <w:r>
        <w:rPr>
          <w:rFonts w:hint="default"/>
          <w:lang w:eastAsia="zh-CN"/>
        </w:rPr>
        <w:t>三、经验、问题和建议</w:t>
      </w:r>
      <w:bookmarkEnd w:id="96"/>
      <w:bookmarkEnd w:id="97"/>
      <w:bookmarkEnd w:id="98"/>
      <w:bookmarkEnd w:id="99"/>
      <w:bookmarkEnd w:id="100"/>
      <w:bookmarkEnd w:id="101"/>
      <w:bookmarkEnd w:id="102"/>
      <w:bookmarkEnd w:id="103"/>
      <w:bookmarkEnd w:id="104"/>
      <w:bookmarkEnd w:id="105"/>
      <w:bookmarkEnd w:id="106"/>
    </w:p>
    <w:p w14:paraId="1C865069">
      <w:pPr>
        <w:pStyle w:val="6"/>
        <w:bidi w:val="0"/>
        <w:rPr>
          <w:rFonts w:hint="default"/>
          <w:lang w:eastAsia="zh-CN"/>
        </w:rPr>
      </w:pPr>
      <w:bookmarkStart w:id="107" w:name="_Toc23069"/>
      <w:bookmarkStart w:id="108" w:name="_Toc10291"/>
      <w:bookmarkStart w:id="109" w:name="_Toc1640"/>
      <w:bookmarkStart w:id="110" w:name="_Toc9082"/>
      <w:bookmarkStart w:id="111" w:name="_Toc31880"/>
      <w:bookmarkStart w:id="112" w:name="_Toc30754"/>
      <w:bookmarkStart w:id="113" w:name="_Toc25636"/>
      <w:bookmarkStart w:id="114" w:name="_Toc317"/>
      <w:bookmarkStart w:id="115" w:name="_Toc11704"/>
      <w:bookmarkStart w:id="116" w:name="_Toc19318"/>
      <w:bookmarkStart w:id="117" w:name="_Toc10613"/>
      <w:r>
        <w:rPr>
          <w:rFonts w:hint="default"/>
          <w:lang w:eastAsia="zh-CN"/>
        </w:rPr>
        <w:t>（一）主要经验及做法</w:t>
      </w:r>
      <w:bookmarkEnd w:id="107"/>
      <w:bookmarkEnd w:id="108"/>
      <w:bookmarkEnd w:id="109"/>
      <w:bookmarkEnd w:id="110"/>
      <w:bookmarkEnd w:id="111"/>
      <w:bookmarkEnd w:id="112"/>
      <w:bookmarkEnd w:id="113"/>
      <w:bookmarkEnd w:id="114"/>
      <w:bookmarkEnd w:id="115"/>
      <w:bookmarkEnd w:id="116"/>
      <w:bookmarkEnd w:id="117"/>
    </w:p>
    <w:p w14:paraId="27C43AC5">
      <w:pPr>
        <w:bidi w:val="0"/>
        <w:rPr>
          <w:rFonts w:hint="eastAsia"/>
          <w:lang w:val="en-US" w:eastAsia="zh-CN"/>
        </w:rPr>
      </w:pPr>
      <w:bookmarkStart w:id="118" w:name="_Toc16267"/>
      <w:bookmarkStart w:id="119" w:name="_Toc30092"/>
      <w:bookmarkStart w:id="120" w:name="_Toc16971"/>
      <w:bookmarkStart w:id="121" w:name="_Toc13416"/>
      <w:bookmarkStart w:id="122" w:name="_Toc10227"/>
      <w:bookmarkStart w:id="123" w:name="_Toc10485"/>
      <w:r>
        <w:rPr>
          <w:rFonts w:hint="eastAsia"/>
          <w:lang w:val="en-US" w:eastAsia="zh-CN"/>
        </w:rPr>
        <w:t>1.健全工作机制，保障政策落地见效。构建“中心统筹、乡镇联动、村居落实”工作体系，细化参保登记、缴费核定、待遇核算、资金发放、资金监管等全流程岗位职责，规范业务经办流程，明确各环节办理时限与标准，严格执行基金收支两条线管理，将各项基金收入纳入财政专户，设立专项支出户，确保基础养老金、丧葬补助金等各项资金专款专用、按时足额发放，实现业务经办规范化、基金管理精细化，保障项目有序运转。</w:t>
      </w:r>
    </w:p>
    <w:p w14:paraId="6AEDBE03">
      <w:pPr>
        <w:bidi w:val="0"/>
        <w:rPr>
          <w:rFonts w:hint="eastAsia"/>
          <w:lang w:val="en-US" w:eastAsia="zh-CN"/>
        </w:rPr>
      </w:pPr>
      <w:r>
        <w:rPr>
          <w:rFonts w:hint="eastAsia"/>
          <w:lang w:val="en-US" w:eastAsia="zh-CN"/>
        </w:rPr>
        <w:t>2.深入实施“全民参保”计划，不断推进全民参保，莎车县以灵活就业人员、新就业形态人员、未参保居民、农村居民等群体为重点，指导开展精准扩面专项行动，全力推进全民参保工作。</w:t>
      </w:r>
    </w:p>
    <w:p w14:paraId="4573208C">
      <w:pPr>
        <w:bidi w:val="0"/>
        <w:rPr>
          <w:rFonts w:hint="default"/>
          <w:lang w:val="en-US" w:eastAsia="zh-CN"/>
        </w:rPr>
      </w:pPr>
      <w:r>
        <w:rPr>
          <w:rFonts w:hint="eastAsia"/>
          <w:lang w:val="en-US" w:eastAsia="zh-CN"/>
        </w:rPr>
        <w:t>3.精准落实待遇发放，提升群众保障获得感。聚焦群众养老需求，精准做好待遇核算与发放工作，规范办理个人账户支出、养老保险关系转移、丧葬补助金申领等业务，简化办事流程，压缩办理时限，打通服务群众“最后一公里”。全面落实基础养老金动态调整政策，稳步提升保障水平，切实发挥养老保险兜底民生、保障居民基本生活的作用，增强参保群众幸福感与安全感。</w:t>
      </w:r>
    </w:p>
    <w:p w14:paraId="04DF1999">
      <w:pPr>
        <w:pStyle w:val="6"/>
        <w:bidi w:val="0"/>
        <w:rPr>
          <w:rFonts w:hint="default"/>
          <w:lang w:eastAsia="zh-CN"/>
        </w:rPr>
      </w:pPr>
      <w:bookmarkStart w:id="124" w:name="_Toc11246"/>
      <w:bookmarkStart w:id="125" w:name="_Toc22404"/>
      <w:bookmarkStart w:id="126" w:name="_Toc9898"/>
      <w:bookmarkStart w:id="127" w:name="_Toc30045"/>
      <w:bookmarkStart w:id="128" w:name="_Toc30086"/>
      <w:r>
        <w:rPr>
          <w:rFonts w:hint="default"/>
          <w:lang w:eastAsia="zh-CN"/>
        </w:rPr>
        <w:t>（二）存在问题与不足</w:t>
      </w:r>
      <w:bookmarkEnd w:id="118"/>
      <w:bookmarkEnd w:id="119"/>
      <w:bookmarkEnd w:id="120"/>
      <w:bookmarkEnd w:id="121"/>
      <w:bookmarkEnd w:id="122"/>
      <w:bookmarkEnd w:id="123"/>
      <w:bookmarkEnd w:id="124"/>
      <w:bookmarkEnd w:id="125"/>
      <w:bookmarkEnd w:id="126"/>
      <w:bookmarkEnd w:id="127"/>
      <w:bookmarkEnd w:id="128"/>
    </w:p>
    <w:p w14:paraId="2467743F">
      <w:pPr>
        <w:bidi w:val="0"/>
        <w:rPr>
          <w:rFonts w:hint="eastAsia"/>
          <w:lang w:val="en-US" w:eastAsia="zh-CN"/>
        </w:rPr>
      </w:pPr>
      <w:bookmarkStart w:id="129" w:name="_Toc19412"/>
      <w:bookmarkStart w:id="130" w:name="_Toc27086"/>
      <w:bookmarkStart w:id="131" w:name="_Toc30960"/>
      <w:bookmarkStart w:id="132" w:name="_Toc29288"/>
      <w:bookmarkStart w:id="133" w:name="_Toc2433"/>
      <w:bookmarkStart w:id="134" w:name="_Toc10750"/>
      <w:r>
        <w:rPr>
          <w:rFonts w:hint="eastAsia"/>
          <w:lang w:val="en-US" w:eastAsia="zh-CN"/>
        </w:rPr>
        <w:t>1.参保缴费结构激励成效不突出。部分参保群众参保意识薄弱，对养老保险政策理解不深入，普遍存在“重眼前、轻长远”的思想，多数群众选择最低缴费档次参保，高档次缴费占比偏低，个人账户积累不足，后续养老保障水平难以有效提升。“多缴多得、长缴多得”激励政策宣传不够透彻，群众参保提档积极性不高，参保缴费结构有待优化。现行缴费档次补贴差距较小，高档次缴费激励力度不足，多缴多补的政策优势不明显，难以引导群众主动提档缴费。</w:t>
      </w:r>
    </w:p>
    <w:p w14:paraId="0592C853">
      <w:pPr>
        <w:bidi w:val="0"/>
        <w:rPr>
          <w:rFonts w:hint="eastAsia"/>
          <w:lang w:val="en-US" w:eastAsia="zh-CN"/>
        </w:rPr>
      </w:pPr>
      <w:r>
        <w:rPr>
          <w:rFonts w:hint="eastAsia"/>
          <w:lang w:val="en-US" w:eastAsia="zh-CN"/>
        </w:rPr>
        <w:t>2.政策宣传精准度不足，群众知晓有盲区。政策宣传多采用普惠式推广方式，针对年轻群体、外出务工人员、偏远村居群众的精准宣传不到位，部分群众对参保缴费标准、待遇核算方式、转移接续流程、丧葬补助金申领条件等核心内容了解不全面、不细致。部分老年群众、文化水平偏低群众对线上办事流程不熟悉，政策知晓存在盲区，影响参保和业务办理积极性。因政策宣传方式缺乏针对性和创新性，未结合不同群体认知特点、需求差异开展精准宣传，多以政策解读、资料发放为主，缺乏案例讲解、待遇测算等直观化宣传，群众难以深刻理解参保长远效益。</w:t>
      </w:r>
    </w:p>
    <w:p w14:paraId="41D993CE">
      <w:pPr>
        <w:bidi w:val="0"/>
        <w:rPr>
          <w:rFonts w:hint="eastAsia"/>
          <w:highlight w:val="none"/>
          <w:lang w:val="en-US" w:eastAsia="zh-CN"/>
        </w:rPr>
      </w:pPr>
      <w:r>
        <w:rPr>
          <w:rFonts w:hint="eastAsia"/>
          <w:lang w:val="en-US" w:eastAsia="zh-CN"/>
        </w:rPr>
        <w:t>3.养老金资格认证覆盖比例有待提高。莎车县社会保险中心虽常态化开展待遇领取资格动态核查，通过线上APP、入户走访、村级协助等多渠道组织群众完成认证，并定期推送认证提醒，但受外出务工人员流动分散、高龄老年群体线上操作能力不足、部分群众主动认证意识薄弱等因素制约，仍有部分到龄人员未及时完成资格认证，出现待遇临时停发情况。</w:t>
      </w:r>
    </w:p>
    <w:p w14:paraId="21DC466D">
      <w:pPr>
        <w:pStyle w:val="6"/>
        <w:bidi w:val="0"/>
        <w:rPr>
          <w:rFonts w:hint="default"/>
          <w:lang w:eastAsia="zh-CN"/>
        </w:rPr>
      </w:pPr>
      <w:bookmarkStart w:id="135" w:name="_Toc1027"/>
      <w:bookmarkStart w:id="136" w:name="_Toc16317"/>
      <w:bookmarkStart w:id="137" w:name="_Toc18363"/>
      <w:bookmarkStart w:id="138" w:name="_Toc22815"/>
      <w:bookmarkStart w:id="139" w:name="_Toc19563"/>
      <w:r>
        <w:rPr>
          <w:rFonts w:hint="default"/>
          <w:lang w:eastAsia="zh-CN"/>
        </w:rPr>
        <w:t>（三）建议和改进措施</w:t>
      </w:r>
      <w:bookmarkEnd w:id="129"/>
      <w:bookmarkEnd w:id="130"/>
      <w:bookmarkEnd w:id="131"/>
      <w:bookmarkEnd w:id="132"/>
      <w:bookmarkEnd w:id="133"/>
      <w:bookmarkEnd w:id="134"/>
      <w:bookmarkEnd w:id="135"/>
      <w:bookmarkEnd w:id="136"/>
      <w:bookmarkEnd w:id="137"/>
      <w:bookmarkEnd w:id="138"/>
      <w:bookmarkEnd w:id="139"/>
    </w:p>
    <w:p w14:paraId="3E874A15">
      <w:pPr>
        <w:bidi w:val="0"/>
        <w:rPr>
          <w:rFonts w:hint="eastAsia"/>
          <w:lang w:val="en-US" w:eastAsia="zh-CN"/>
        </w:rPr>
      </w:pPr>
      <w:r>
        <w:rPr>
          <w:rFonts w:hint="eastAsia"/>
          <w:lang w:val="en-US" w:eastAsia="zh-CN"/>
        </w:rPr>
        <w:t>1.完善缴费激励政策，拉大不同缴费档次的补贴差距，强化“多缴多得、长缴多得”政策导向，引导参保群众主动提升缴费档次，优化参保缴费结构。</w:t>
      </w:r>
    </w:p>
    <w:p w14:paraId="42C0A004">
      <w:pPr>
        <w:bidi w:val="0"/>
        <w:rPr>
          <w:rFonts w:hint="eastAsia"/>
          <w:lang w:val="en-US" w:eastAsia="zh-CN"/>
        </w:rPr>
      </w:pPr>
      <w:r>
        <w:rPr>
          <w:rFonts w:hint="eastAsia"/>
          <w:lang w:val="en-US" w:eastAsia="zh-CN"/>
        </w:rPr>
        <w:t>2.精准开展政策宣传解读，实施分层分类宣传，针对老年群体、年轻群体、外出务工人员、特殊困难群体等不同对象，定制差异化宣传内容，用通俗易懂的语言、直观的待遇测算案例、接地气的宣讲方式，解读参保缴费、待遇领取、转移接续、丧葬补助等核心政策。通过电视、电台、莎车零距离、制作抖音视频、微信、发放宣传单、巩固拓展脱贫攻坚成果走访、访惠聚干部、联户长入户走访等方式广泛宣传。利用新疆智慧人社</w:t>
      </w:r>
      <w:r>
        <w:rPr>
          <w:rFonts w:hint="default"/>
          <w:lang w:val="en-US" w:eastAsia="zh-CN"/>
        </w:rPr>
        <w:t>APP</w:t>
      </w:r>
      <w:r>
        <w:rPr>
          <w:rFonts w:hint="eastAsia"/>
          <w:lang w:val="en-US" w:eastAsia="zh-CN"/>
        </w:rPr>
        <w:t>和新疆人社</w:t>
      </w:r>
      <w:r>
        <w:rPr>
          <w:rFonts w:hint="default"/>
          <w:lang w:val="en-US" w:eastAsia="zh-CN"/>
        </w:rPr>
        <w:t>12333</w:t>
      </w:r>
      <w:r>
        <w:rPr>
          <w:rFonts w:hint="eastAsia"/>
          <w:lang w:val="en-US" w:eastAsia="zh-CN"/>
        </w:rPr>
        <w:t>认证，积极向居民解疑释惑，进一步提高群众对认证相关政策的知晓率。</w:t>
      </w:r>
    </w:p>
    <w:p w14:paraId="525F239B">
      <w:pPr>
        <w:bidi w:val="0"/>
        <w:rPr>
          <w:rFonts w:hint="default"/>
          <w:lang w:val="en-US" w:eastAsia="zh-CN"/>
        </w:rPr>
      </w:pPr>
      <w:r>
        <w:rPr>
          <w:rFonts w:hint="eastAsia"/>
          <w:lang w:val="en-US" w:eastAsia="zh-CN"/>
        </w:rPr>
        <w:t>3.多措并举提升养老金资格认证及时率。持续拓宽线上、线下认证渠道，针对外出务工人员推送异地认证指引，组织村干部、志愿者上门协助高龄、独居老人完成认证；通过村广播、短视频、入户宣讲普及认证时限、逾期停发及补认证补发政策，提升群众主动认证意识，最大限度减少因未及时认证停发待遇的情况。</w:t>
      </w:r>
    </w:p>
    <w:p w14:paraId="500B1B39">
      <w:pPr>
        <w:pStyle w:val="6"/>
        <w:ind w:left="0" w:leftChars="0" w:firstLine="0" w:firstLineChars="0"/>
        <w:outlineLvl w:val="9"/>
        <w:rPr>
          <w:rFonts w:hint="eastAsia"/>
          <w:lang w:eastAsia="zh-CN"/>
        </w:rPr>
      </w:pPr>
    </w:p>
    <w:p w14:paraId="70774511">
      <w:pPr>
        <w:rPr>
          <w:rFonts w:hint="eastAsia"/>
          <w:lang w:eastAsia="zh-CN"/>
        </w:rPr>
      </w:pPr>
    </w:p>
    <w:p w14:paraId="54822575">
      <w:pPr>
        <w:pStyle w:val="6"/>
        <w:outlineLvl w:val="9"/>
        <w:rPr>
          <w:rFonts w:hint="eastAsia"/>
          <w:lang w:eastAsia="zh-CN"/>
        </w:rPr>
      </w:pPr>
    </w:p>
    <w:p w14:paraId="2F5183DD">
      <w:pPr>
        <w:rPr>
          <w:rFonts w:hint="eastAsia"/>
          <w:lang w:eastAsia="zh-CN"/>
        </w:rPr>
      </w:pPr>
    </w:p>
    <w:p w14:paraId="06577943">
      <w:pPr>
        <w:pStyle w:val="6"/>
        <w:outlineLvl w:val="9"/>
        <w:rPr>
          <w:rFonts w:hint="eastAsia"/>
          <w:lang w:eastAsia="zh-CN"/>
        </w:rPr>
      </w:pPr>
    </w:p>
    <w:p w14:paraId="7E678E66">
      <w:pPr>
        <w:rPr>
          <w:rFonts w:hint="eastAsia"/>
          <w:lang w:eastAsia="zh-CN"/>
        </w:rPr>
      </w:pPr>
    </w:p>
    <w:p w14:paraId="31157F80">
      <w:pPr>
        <w:pStyle w:val="6"/>
        <w:outlineLvl w:val="9"/>
        <w:rPr>
          <w:rFonts w:hint="eastAsia"/>
          <w:lang w:eastAsia="zh-CN"/>
        </w:rPr>
      </w:pPr>
    </w:p>
    <w:p w14:paraId="08CC8AAD">
      <w:pPr>
        <w:rPr>
          <w:rFonts w:hint="eastAsia"/>
          <w:lang w:eastAsia="zh-CN"/>
        </w:rPr>
      </w:pPr>
    </w:p>
    <w:p w14:paraId="192393E6">
      <w:pPr>
        <w:pStyle w:val="6"/>
        <w:outlineLvl w:val="9"/>
        <w:rPr>
          <w:rFonts w:hint="eastAsia"/>
          <w:lang w:eastAsia="zh-CN"/>
        </w:rPr>
      </w:pPr>
    </w:p>
    <w:p w14:paraId="0CF26D3F">
      <w:pPr>
        <w:rPr>
          <w:rFonts w:hint="eastAsia"/>
          <w:lang w:eastAsia="zh-CN"/>
        </w:rPr>
      </w:pPr>
    </w:p>
    <w:p w14:paraId="282763F7">
      <w:pPr>
        <w:rPr>
          <w:rFonts w:hint="eastAsia"/>
          <w:lang w:eastAsia="zh-CN"/>
        </w:rPr>
      </w:pPr>
    </w:p>
    <w:sdt>
      <w:sdtPr>
        <w:rPr>
          <w:rFonts w:hint="eastAsia" w:ascii="方正小标宋简体" w:hAnsi="方正小标宋简体" w:eastAsia="方正小标宋简体" w:cs="方正小标宋简体"/>
          <w:kern w:val="2"/>
          <w:sz w:val="44"/>
          <w:szCs w:val="44"/>
          <w:lang w:val="en-US" w:eastAsia="zh-CN" w:bidi="ar-SA"/>
        </w:rPr>
        <w:id w:val="147462431"/>
        <w15:color w:val="DBDBDB"/>
        <w:docPartObj>
          <w:docPartGallery w:val="Table of Contents"/>
          <w:docPartUnique/>
        </w:docPartObj>
      </w:sdtPr>
      <w:sdtEndPr>
        <w:rPr>
          <w:rFonts w:hint="eastAsia" w:ascii="方正小标宋简体" w:hAnsi="方正小标宋简体" w:eastAsia="方正小标宋简体" w:cs="方正小标宋简体"/>
          <w:b/>
          <w:kern w:val="2"/>
          <w:sz w:val="44"/>
          <w:szCs w:val="44"/>
          <w:lang w:val="en-US" w:eastAsia="zh-CN" w:bidi="ar-SA"/>
        </w:rPr>
      </w:sdtEndPr>
      <w:sdtContent>
        <w:p w14:paraId="18DEC6F4">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bookmarkStart w:id="140" w:name="_Toc2070"/>
          <w:bookmarkStart w:id="141" w:name="_Toc6278"/>
          <w:bookmarkStart w:id="142" w:name="_Toc29171"/>
          <w:r>
            <w:rPr>
              <w:rFonts w:hint="eastAsia" w:ascii="方正小标宋简体" w:hAnsi="方正小标宋简体" w:eastAsia="方正小标宋简体" w:cs="方正小标宋简体"/>
              <w:sz w:val="44"/>
              <w:szCs w:val="44"/>
            </w:rPr>
            <w:t>目录</w:t>
          </w:r>
        </w:p>
        <w:p w14:paraId="0F886BAE">
          <w:pPr>
            <w:pStyle w:val="13"/>
            <w:tabs>
              <w:tab w:val="right" w:leader="dot" w:pos="8306"/>
            </w:tabs>
          </w:pPr>
          <w:r>
            <w:fldChar w:fldCharType="begin"/>
          </w:r>
          <w:r>
            <w:instrText xml:space="preserve">TOC \o "1-2" \h \u </w:instrText>
          </w:r>
          <w:r>
            <w:fldChar w:fldCharType="separate"/>
          </w:r>
        </w:p>
        <w:p w14:paraId="6B7240BD">
          <w:pPr>
            <w:pStyle w:val="12"/>
            <w:tabs>
              <w:tab w:val="right" w:leader="dot" w:pos="8306"/>
            </w:tabs>
          </w:pPr>
          <w:r>
            <w:fldChar w:fldCharType="begin"/>
          </w:r>
          <w:r>
            <w:instrText xml:space="preserve"> HYPERLINK \l _Toc30050 </w:instrText>
          </w:r>
          <w:r>
            <w:fldChar w:fldCharType="separate"/>
          </w:r>
          <w:r>
            <w:rPr>
              <w:rFonts w:hint="eastAsia"/>
              <w:lang w:val="en-US" w:eastAsia="zh-CN"/>
            </w:rPr>
            <w:t>一、基本情况</w:t>
          </w:r>
          <w:r>
            <w:tab/>
          </w:r>
          <w:r>
            <w:fldChar w:fldCharType="begin"/>
          </w:r>
          <w:r>
            <w:instrText xml:space="preserve"> PAGEREF _Toc30050 \h </w:instrText>
          </w:r>
          <w:r>
            <w:fldChar w:fldCharType="separate"/>
          </w:r>
          <w:r>
            <w:t>- 2 -</w:t>
          </w:r>
          <w:r>
            <w:fldChar w:fldCharType="end"/>
          </w:r>
          <w:r>
            <w:fldChar w:fldCharType="end"/>
          </w:r>
        </w:p>
        <w:p w14:paraId="24A171B1">
          <w:pPr>
            <w:pStyle w:val="13"/>
            <w:tabs>
              <w:tab w:val="right" w:leader="dot" w:pos="8306"/>
            </w:tabs>
          </w:pPr>
          <w:r>
            <w:fldChar w:fldCharType="begin"/>
          </w:r>
          <w:r>
            <w:instrText xml:space="preserve"> HYPERLINK \l _Toc30980 </w:instrText>
          </w:r>
          <w:r>
            <w:fldChar w:fldCharType="separate"/>
          </w:r>
          <w:r>
            <w:rPr>
              <w:rFonts w:hint="eastAsia"/>
              <w:lang w:val="en-US" w:eastAsia="zh-CN"/>
            </w:rPr>
            <w:t>（一）项目概况</w:t>
          </w:r>
          <w:r>
            <w:tab/>
          </w:r>
          <w:r>
            <w:fldChar w:fldCharType="begin"/>
          </w:r>
          <w:r>
            <w:instrText xml:space="preserve"> PAGEREF _Toc30980 \h </w:instrText>
          </w:r>
          <w:r>
            <w:fldChar w:fldCharType="separate"/>
          </w:r>
          <w:r>
            <w:t>- 2 -</w:t>
          </w:r>
          <w:r>
            <w:fldChar w:fldCharType="end"/>
          </w:r>
          <w:r>
            <w:fldChar w:fldCharType="end"/>
          </w:r>
        </w:p>
        <w:p w14:paraId="572282E0">
          <w:pPr>
            <w:pStyle w:val="13"/>
            <w:tabs>
              <w:tab w:val="right" w:leader="dot" w:pos="8306"/>
            </w:tabs>
          </w:pPr>
          <w:r>
            <w:fldChar w:fldCharType="begin"/>
          </w:r>
          <w:r>
            <w:instrText xml:space="preserve"> HYPERLINK \l _Toc19168 </w:instrText>
          </w:r>
          <w:r>
            <w:fldChar w:fldCharType="separate"/>
          </w:r>
          <w:r>
            <w:rPr>
              <w:rFonts w:hint="eastAsia"/>
              <w:lang w:val="en-US" w:eastAsia="zh-CN"/>
            </w:rPr>
            <w:t>（二）项目绩效目标</w:t>
          </w:r>
          <w:r>
            <w:tab/>
          </w:r>
          <w:r>
            <w:fldChar w:fldCharType="begin"/>
          </w:r>
          <w:r>
            <w:instrText xml:space="preserve"> PAGEREF _Toc19168 \h </w:instrText>
          </w:r>
          <w:r>
            <w:fldChar w:fldCharType="separate"/>
          </w:r>
          <w:r>
            <w:t>- 8 -</w:t>
          </w:r>
          <w:r>
            <w:fldChar w:fldCharType="end"/>
          </w:r>
          <w:r>
            <w:fldChar w:fldCharType="end"/>
          </w:r>
        </w:p>
        <w:p w14:paraId="5EA8A834">
          <w:pPr>
            <w:pStyle w:val="12"/>
            <w:tabs>
              <w:tab w:val="right" w:leader="dot" w:pos="8306"/>
            </w:tabs>
          </w:pPr>
          <w:r>
            <w:fldChar w:fldCharType="begin"/>
          </w:r>
          <w:r>
            <w:instrText xml:space="preserve"> HYPERLINK \l _Toc8122 </w:instrText>
          </w:r>
          <w:r>
            <w:fldChar w:fldCharType="separate"/>
          </w:r>
          <w:r>
            <w:rPr>
              <w:rFonts w:hint="eastAsia"/>
              <w:lang w:val="en-US" w:eastAsia="zh-CN"/>
            </w:rPr>
            <w:t>二、绩效评价工作开展情况</w:t>
          </w:r>
          <w:r>
            <w:tab/>
          </w:r>
          <w:r>
            <w:fldChar w:fldCharType="begin"/>
          </w:r>
          <w:r>
            <w:instrText xml:space="preserve"> PAGEREF _Toc8122 \h </w:instrText>
          </w:r>
          <w:r>
            <w:fldChar w:fldCharType="separate"/>
          </w:r>
          <w:r>
            <w:t>- 11 -</w:t>
          </w:r>
          <w:r>
            <w:fldChar w:fldCharType="end"/>
          </w:r>
          <w:r>
            <w:fldChar w:fldCharType="end"/>
          </w:r>
        </w:p>
        <w:p w14:paraId="26E72A62">
          <w:pPr>
            <w:pStyle w:val="13"/>
            <w:tabs>
              <w:tab w:val="right" w:leader="dot" w:pos="8306"/>
            </w:tabs>
          </w:pPr>
          <w:r>
            <w:fldChar w:fldCharType="begin"/>
          </w:r>
          <w:r>
            <w:instrText xml:space="preserve"> HYPERLINK \l _Toc24526 </w:instrText>
          </w:r>
          <w:r>
            <w:fldChar w:fldCharType="separate"/>
          </w:r>
          <w:r>
            <w:rPr>
              <w:rFonts w:hint="eastAsia"/>
              <w:lang w:val="en-US" w:eastAsia="zh-CN"/>
            </w:rPr>
            <w:t>（一）绩效评价目的、对象和范围</w:t>
          </w:r>
          <w:r>
            <w:tab/>
          </w:r>
          <w:r>
            <w:fldChar w:fldCharType="begin"/>
          </w:r>
          <w:r>
            <w:instrText xml:space="preserve"> PAGEREF _Toc24526 \h </w:instrText>
          </w:r>
          <w:r>
            <w:fldChar w:fldCharType="separate"/>
          </w:r>
          <w:r>
            <w:t>- 11 -</w:t>
          </w:r>
          <w:r>
            <w:fldChar w:fldCharType="end"/>
          </w:r>
          <w:r>
            <w:fldChar w:fldCharType="end"/>
          </w:r>
        </w:p>
        <w:p w14:paraId="75FFDE38">
          <w:pPr>
            <w:pStyle w:val="13"/>
            <w:tabs>
              <w:tab w:val="right" w:leader="dot" w:pos="8306"/>
            </w:tabs>
          </w:pPr>
          <w:r>
            <w:fldChar w:fldCharType="begin"/>
          </w:r>
          <w:r>
            <w:instrText xml:space="preserve"> HYPERLINK \l _Toc18905 </w:instrText>
          </w:r>
          <w:r>
            <w:fldChar w:fldCharType="separate"/>
          </w:r>
          <w:r>
            <w:rPr>
              <w:rFonts w:hint="eastAsia"/>
              <w:lang w:val="en-US" w:eastAsia="zh-CN"/>
            </w:rPr>
            <w:t>（二）绩效评价原则、评价指标体系、评价方法、评价标准</w:t>
          </w:r>
          <w:r>
            <w:tab/>
          </w:r>
          <w:r>
            <w:fldChar w:fldCharType="begin"/>
          </w:r>
          <w:r>
            <w:instrText xml:space="preserve"> PAGEREF _Toc18905 \h </w:instrText>
          </w:r>
          <w:r>
            <w:fldChar w:fldCharType="separate"/>
          </w:r>
          <w:r>
            <w:t>- 12 -</w:t>
          </w:r>
          <w:r>
            <w:fldChar w:fldCharType="end"/>
          </w:r>
          <w:r>
            <w:fldChar w:fldCharType="end"/>
          </w:r>
        </w:p>
        <w:p w14:paraId="2E7E3A9C">
          <w:pPr>
            <w:pStyle w:val="13"/>
            <w:tabs>
              <w:tab w:val="right" w:leader="dot" w:pos="8306"/>
            </w:tabs>
          </w:pPr>
          <w:r>
            <w:fldChar w:fldCharType="begin"/>
          </w:r>
          <w:r>
            <w:instrText xml:space="preserve"> HYPERLINK \l _Toc6746 </w:instrText>
          </w:r>
          <w:r>
            <w:fldChar w:fldCharType="separate"/>
          </w:r>
          <w:r>
            <w:rPr>
              <w:rFonts w:hint="eastAsia"/>
              <w:lang w:val="en-US" w:eastAsia="zh-CN"/>
            </w:rPr>
            <w:t>（三）绩效评价工作过程</w:t>
          </w:r>
          <w:r>
            <w:tab/>
          </w:r>
          <w:r>
            <w:fldChar w:fldCharType="begin"/>
          </w:r>
          <w:r>
            <w:instrText xml:space="preserve"> PAGEREF _Toc6746 \h </w:instrText>
          </w:r>
          <w:r>
            <w:fldChar w:fldCharType="separate"/>
          </w:r>
          <w:r>
            <w:t>- 16 -</w:t>
          </w:r>
          <w:r>
            <w:fldChar w:fldCharType="end"/>
          </w:r>
          <w:r>
            <w:fldChar w:fldCharType="end"/>
          </w:r>
        </w:p>
        <w:p w14:paraId="2043287D">
          <w:pPr>
            <w:pStyle w:val="12"/>
            <w:tabs>
              <w:tab w:val="right" w:leader="dot" w:pos="8306"/>
            </w:tabs>
          </w:pPr>
          <w:r>
            <w:fldChar w:fldCharType="begin"/>
          </w:r>
          <w:r>
            <w:instrText xml:space="preserve"> HYPERLINK \l _Toc5280 </w:instrText>
          </w:r>
          <w:r>
            <w:fldChar w:fldCharType="separate"/>
          </w:r>
          <w:r>
            <w:rPr>
              <w:rFonts w:hint="eastAsia"/>
              <w:lang w:val="en-US" w:eastAsia="zh-CN"/>
            </w:rPr>
            <w:t>三、综合评价情况及评价结论</w:t>
          </w:r>
          <w:r>
            <w:tab/>
          </w:r>
          <w:r>
            <w:fldChar w:fldCharType="begin"/>
          </w:r>
          <w:r>
            <w:instrText xml:space="preserve"> PAGEREF _Toc5280 \h </w:instrText>
          </w:r>
          <w:r>
            <w:fldChar w:fldCharType="separate"/>
          </w:r>
          <w:r>
            <w:t>- 19 -</w:t>
          </w:r>
          <w:r>
            <w:fldChar w:fldCharType="end"/>
          </w:r>
          <w:r>
            <w:fldChar w:fldCharType="end"/>
          </w:r>
        </w:p>
        <w:p w14:paraId="27DDB8ED">
          <w:pPr>
            <w:pStyle w:val="13"/>
            <w:tabs>
              <w:tab w:val="right" w:leader="dot" w:pos="8306"/>
            </w:tabs>
          </w:pPr>
          <w:r>
            <w:fldChar w:fldCharType="begin"/>
          </w:r>
          <w:r>
            <w:instrText xml:space="preserve"> HYPERLINK \l _Toc23393 </w:instrText>
          </w:r>
          <w:r>
            <w:fldChar w:fldCharType="separate"/>
          </w:r>
          <w:r>
            <w:rPr>
              <w:rFonts w:hint="eastAsia"/>
              <w:lang w:val="en-US" w:eastAsia="zh-CN"/>
            </w:rPr>
            <w:t>（一）综合评价情况</w:t>
          </w:r>
          <w:r>
            <w:tab/>
          </w:r>
          <w:r>
            <w:fldChar w:fldCharType="begin"/>
          </w:r>
          <w:r>
            <w:instrText xml:space="preserve"> PAGEREF _Toc23393 \h </w:instrText>
          </w:r>
          <w:r>
            <w:fldChar w:fldCharType="separate"/>
          </w:r>
          <w:r>
            <w:t>- 19 -</w:t>
          </w:r>
          <w:r>
            <w:fldChar w:fldCharType="end"/>
          </w:r>
          <w:r>
            <w:fldChar w:fldCharType="end"/>
          </w:r>
        </w:p>
        <w:p w14:paraId="7DC2ADF2">
          <w:pPr>
            <w:pStyle w:val="13"/>
            <w:tabs>
              <w:tab w:val="right" w:leader="dot" w:pos="8306"/>
            </w:tabs>
          </w:pPr>
          <w:r>
            <w:fldChar w:fldCharType="begin"/>
          </w:r>
          <w:r>
            <w:instrText xml:space="preserve"> HYPERLINK \l _Toc15252 </w:instrText>
          </w:r>
          <w:r>
            <w:fldChar w:fldCharType="separate"/>
          </w:r>
          <w:r>
            <w:rPr>
              <w:rFonts w:hint="eastAsia"/>
              <w:lang w:val="en-US" w:eastAsia="zh-CN"/>
            </w:rPr>
            <w:t>（二）综合评价结论</w:t>
          </w:r>
          <w:r>
            <w:tab/>
          </w:r>
          <w:r>
            <w:fldChar w:fldCharType="begin"/>
          </w:r>
          <w:r>
            <w:instrText xml:space="preserve"> PAGEREF _Toc15252 \h </w:instrText>
          </w:r>
          <w:r>
            <w:fldChar w:fldCharType="separate"/>
          </w:r>
          <w:r>
            <w:t>- 19 -</w:t>
          </w:r>
          <w:r>
            <w:fldChar w:fldCharType="end"/>
          </w:r>
          <w:r>
            <w:fldChar w:fldCharType="end"/>
          </w:r>
        </w:p>
        <w:p w14:paraId="14008471">
          <w:pPr>
            <w:pStyle w:val="12"/>
            <w:tabs>
              <w:tab w:val="right" w:leader="dot" w:pos="8306"/>
            </w:tabs>
          </w:pPr>
          <w:r>
            <w:fldChar w:fldCharType="begin"/>
          </w:r>
          <w:r>
            <w:instrText xml:space="preserve"> HYPERLINK \l _Toc15881 </w:instrText>
          </w:r>
          <w:r>
            <w:fldChar w:fldCharType="separate"/>
          </w:r>
          <w:r>
            <w:rPr>
              <w:rFonts w:hint="eastAsia"/>
              <w:lang w:val="en-US" w:eastAsia="zh-CN"/>
            </w:rPr>
            <w:t>四、绩效评价指标分析</w:t>
          </w:r>
          <w:r>
            <w:tab/>
          </w:r>
          <w:r>
            <w:fldChar w:fldCharType="begin"/>
          </w:r>
          <w:r>
            <w:instrText xml:space="preserve"> PAGEREF _Toc15881 \h </w:instrText>
          </w:r>
          <w:r>
            <w:fldChar w:fldCharType="separate"/>
          </w:r>
          <w:r>
            <w:t>- 20 -</w:t>
          </w:r>
          <w:r>
            <w:fldChar w:fldCharType="end"/>
          </w:r>
          <w:r>
            <w:fldChar w:fldCharType="end"/>
          </w:r>
        </w:p>
        <w:p w14:paraId="38AEFD8D">
          <w:pPr>
            <w:pStyle w:val="13"/>
            <w:tabs>
              <w:tab w:val="right" w:leader="dot" w:pos="8306"/>
            </w:tabs>
          </w:pPr>
          <w:r>
            <w:fldChar w:fldCharType="begin"/>
          </w:r>
          <w:r>
            <w:instrText xml:space="preserve"> HYPERLINK \l _Toc19499 </w:instrText>
          </w:r>
          <w:r>
            <w:fldChar w:fldCharType="separate"/>
          </w:r>
          <w:r>
            <w:rPr>
              <w:rFonts w:hint="eastAsia"/>
              <w:lang w:val="en-US" w:eastAsia="zh-CN"/>
            </w:rPr>
            <w:t>（一）项目决策情况</w:t>
          </w:r>
          <w:r>
            <w:tab/>
          </w:r>
          <w:r>
            <w:fldChar w:fldCharType="begin"/>
          </w:r>
          <w:r>
            <w:instrText xml:space="preserve"> PAGEREF _Toc19499 \h </w:instrText>
          </w:r>
          <w:r>
            <w:fldChar w:fldCharType="separate"/>
          </w:r>
          <w:r>
            <w:t>- 20 -</w:t>
          </w:r>
          <w:r>
            <w:fldChar w:fldCharType="end"/>
          </w:r>
          <w:r>
            <w:fldChar w:fldCharType="end"/>
          </w:r>
        </w:p>
        <w:p w14:paraId="54D6D4F9">
          <w:pPr>
            <w:pStyle w:val="13"/>
            <w:tabs>
              <w:tab w:val="right" w:leader="dot" w:pos="8306"/>
            </w:tabs>
          </w:pPr>
          <w:r>
            <w:fldChar w:fldCharType="begin"/>
          </w:r>
          <w:r>
            <w:instrText xml:space="preserve"> HYPERLINK \l _Toc9523 </w:instrText>
          </w:r>
          <w:r>
            <w:fldChar w:fldCharType="separate"/>
          </w:r>
          <w:r>
            <w:rPr>
              <w:rFonts w:hint="eastAsia"/>
              <w:lang w:val="en-US" w:eastAsia="zh-CN"/>
            </w:rPr>
            <w:t>（二）项目过程情况</w:t>
          </w:r>
          <w:r>
            <w:tab/>
          </w:r>
          <w:r>
            <w:fldChar w:fldCharType="begin"/>
          </w:r>
          <w:r>
            <w:instrText xml:space="preserve"> PAGEREF _Toc9523 \h </w:instrText>
          </w:r>
          <w:r>
            <w:fldChar w:fldCharType="separate"/>
          </w:r>
          <w:r>
            <w:t>- 25 -</w:t>
          </w:r>
          <w:r>
            <w:fldChar w:fldCharType="end"/>
          </w:r>
          <w:r>
            <w:fldChar w:fldCharType="end"/>
          </w:r>
        </w:p>
        <w:p w14:paraId="1E0B9C02">
          <w:pPr>
            <w:pStyle w:val="13"/>
            <w:tabs>
              <w:tab w:val="right" w:leader="dot" w:pos="8306"/>
            </w:tabs>
          </w:pPr>
          <w:r>
            <w:fldChar w:fldCharType="begin"/>
          </w:r>
          <w:r>
            <w:instrText xml:space="preserve"> HYPERLINK \l _Toc1023 </w:instrText>
          </w:r>
          <w:r>
            <w:fldChar w:fldCharType="separate"/>
          </w:r>
          <w:r>
            <w:rPr>
              <w:rFonts w:hint="eastAsia"/>
              <w:lang w:val="en-US" w:eastAsia="zh-CN"/>
            </w:rPr>
            <w:t>（三）项目产出情况</w:t>
          </w:r>
          <w:r>
            <w:tab/>
          </w:r>
          <w:r>
            <w:fldChar w:fldCharType="begin"/>
          </w:r>
          <w:r>
            <w:instrText xml:space="preserve"> PAGEREF _Toc1023 \h </w:instrText>
          </w:r>
          <w:r>
            <w:fldChar w:fldCharType="separate"/>
          </w:r>
          <w:r>
            <w:t>- 28 -</w:t>
          </w:r>
          <w:r>
            <w:fldChar w:fldCharType="end"/>
          </w:r>
          <w:r>
            <w:fldChar w:fldCharType="end"/>
          </w:r>
        </w:p>
        <w:p w14:paraId="62226FEA">
          <w:pPr>
            <w:pStyle w:val="13"/>
            <w:tabs>
              <w:tab w:val="right" w:leader="dot" w:pos="8306"/>
            </w:tabs>
          </w:pPr>
          <w:r>
            <w:fldChar w:fldCharType="begin"/>
          </w:r>
          <w:r>
            <w:instrText xml:space="preserve"> HYPERLINK \l _Toc3429 </w:instrText>
          </w:r>
          <w:r>
            <w:fldChar w:fldCharType="separate"/>
          </w:r>
          <w:r>
            <w:rPr>
              <w:rFonts w:hint="eastAsia"/>
              <w:lang w:val="en-US" w:eastAsia="zh-CN"/>
            </w:rPr>
            <w:t>（四）项目效益情况</w:t>
          </w:r>
          <w:r>
            <w:tab/>
          </w:r>
          <w:r>
            <w:fldChar w:fldCharType="begin"/>
          </w:r>
          <w:r>
            <w:instrText xml:space="preserve"> PAGEREF _Toc3429 \h </w:instrText>
          </w:r>
          <w:r>
            <w:fldChar w:fldCharType="separate"/>
          </w:r>
          <w:r>
            <w:t>- 32 -</w:t>
          </w:r>
          <w:r>
            <w:fldChar w:fldCharType="end"/>
          </w:r>
          <w:r>
            <w:fldChar w:fldCharType="end"/>
          </w:r>
        </w:p>
        <w:p w14:paraId="492C8D72">
          <w:pPr>
            <w:pStyle w:val="12"/>
            <w:tabs>
              <w:tab w:val="right" w:leader="dot" w:pos="8306"/>
            </w:tabs>
          </w:pPr>
          <w:r>
            <w:fldChar w:fldCharType="begin"/>
          </w:r>
          <w:r>
            <w:instrText xml:space="preserve"> HYPERLINK \l _Toc5508 </w:instrText>
          </w:r>
          <w:r>
            <w:fldChar w:fldCharType="separate"/>
          </w:r>
          <w:r>
            <w:rPr>
              <w:rFonts w:hint="eastAsia"/>
              <w:lang w:val="en-US" w:eastAsia="zh-CN"/>
            </w:rPr>
            <w:t>五、主要经验及做法、存在的问题及原因分析</w:t>
          </w:r>
          <w:r>
            <w:tab/>
          </w:r>
          <w:r>
            <w:fldChar w:fldCharType="begin"/>
          </w:r>
          <w:r>
            <w:instrText xml:space="preserve"> PAGEREF _Toc5508 \h </w:instrText>
          </w:r>
          <w:r>
            <w:fldChar w:fldCharType="separate"/>
          </w:r>
          <w:r>
            <w:t>- 33 -</w:t>
          </w:r>
          <w:r>
            <w:fldChar w:fldCharType="end"/>
          </w:r>
          <w:r>
            <w:fldChar w:fldCharType="end"/>
          </w:r>
        </w:p>
        <w:p w14:paraId="46CB07B3">
          <w:pPr>
            <w:pStyle w:val="13"/>
            <w:tabs>
              <w:tab w:val="right" w:leader="dot" w:pos="8306"/>
            </w:tabs>
          </w:pPr>
          <w:r>
            <w:fldChar w:fldCharType="begin"/>
          </w:r>
          <w:r>
            <w:instrText xml:space="preserve"> HYPERLINK \l _Toc12188 </w:instrText>
          </w:r>
          <w:r>
            <w:fldChar w:fldCharType="separate"/>
          </w:r>
          <w:r>
            <w:rPr>
              <w:rFonts w:hint="eastAsia"/>
              <w:lang w:val="en-US" w:eastAsia="zh-CN"/>
            </w:rPr>
            <w:t>（一）主要经验及做法</w:t>
          </w:r>
          <w:r>
            <w:tab/>
          </w:r>
          <w:r>
            <w:fldChar w:fldCharType="begin"/>
          </w:r>
          <w:r>
            <w:instrText xml:space="preserve"> PAGEREF _Toc12188 \h </w:instrText>
          </w:r>
          <w:r>
            <w:fldChar w:fldCharType="separate"/>
          </w:r>
          <w:r>
            <w:t>- 33 -</w:t>
          </w:r>
          <w:r>
            <w:fldChar w:fldCharType="end"/>
          </w:r>
          <w:r>
            <w:fldChar w:fldCharType="end"/>
          </w:r>
        </w:p>
        <w:p w14:paraId="2D06ED5F">
          <w:pPr>
            <w:pStyle w:val="13"/>
            <w:tabs>
              <w:tab w:val="right" w:leader="dot" w:pos="8306"/>
            </w:tabs>
          </w:pPr>
          <w:r>
            <w:fldChar w:fldCharType="begin"/>
          </w:r>
          <w:r>
            <w:instrText xml:space="preserve"> HYPERLINK \l _Toc7346 </w:instrText>
          </w:r>
          <w:r>
            <w:fldChar w:fldCharType="separate"/>
          </w:r>
          <w:r>
            <w:rPr>
              <w:rFonts w:hint="eastAsia"/>
              <w:lang w:val="en-US" w:eastAsia="zh-CN"/>
            </w:rPr>
            <w:t>（二）存在问题及原因分析</w:t>
          </w:r>
          <w:r>
            <w:tab/>
          </w:r>
          <w:r>
            <w:fldChar w:fldCharType="begin"/>
          </w:r>
          <w:r>
            <w:instrText xml:space="preserve"> PAGEREF _Toc7346 \h </w:instrText>
          </w:r>
          <w:r>
            <w:fldChar w:fldCharType="separate"/>
          </w:r>
          <w:r>
            <w:t>- 34 -</w:t>
          </w:r>
          <w:r>
            <w:fldChar w:fldCharType="end"/>
          </w:r>
          <w:r>
            <w:fldChar w:fldCharType="end"/>
          </w:r>
        </w:p>
        <w:p w14:paraId="0467F54C">
          <w:pPr>
            <w:pStyle w:val="12"/>
            <w:tabs>
              <w:tab w:val="right" w:leader="dot" w:pos="8306"/>
            </w:tabs>
          </w:pPr>
          <w:r>
            <w:fldChar w:fldCharType="begin"/>
          </w:r>
          <w:r>
            <w:instrText xml:space="preserve"> HYPERLINK \l _Toc18032 </w:instrText>
          </w:r>
          <w:r>
            <w:fldChar w:fldCharType="separate"/>
          </w:r>
          <w:r>
            <w:rPr>
              <w:rFonts w:hint="eastAsia"/>
              <w:lang w:val="en-US" w:eastAsia="zh-CN"/>
            </w:rPr>
            <w:t>六、有关建议</w:t>
          </w:r>
          <w:r>
            <w:tab/>
          </w:r>
          <w:r>
            <w:fldChar w:fldCharType="begin"/>
          </w:r>
          <w:r>
            <w:instrText xml:space="preserve"> PAGEREF _Toc18032 \h </w:instrText>
          </w:r>
          <w:r>
            <w:fldChar w:fldCharType="separate"/>
          </w:r>
          <w:r>
            <w:t>- 35 -</w:t>
          </w:r>
          <w:r>
            <w:fldChar w:fldCharType="end"/>
          </w:r>
          <w:r>
            <w:fldChar w:fldCharType="end"/>
          </w:r>
        </w:p>
        <w:p w14:paraId="0AC70A8F">
          <w:pPr>
            <w:pStyle w:val="12"/>
            <w:tabs>
              <w:tab w:val="right" w:leader="dot" w:pos="8306"/>
            </w:tabs>
          </w:pPr>
          <w:r>
            <w:fldChar w:fldCharType="begin"/>
          </w:r>
          <w:r>
            <w:instrText xml:space="preserve"> HYPERLINK \l _Toc8224 </w:instrText>
          </w:r>
          <w:r>
            <w:fldChar w:fldCharType="separate"/>
          </w:r>
          <w:r>
            <w:rPr>
              <w:rFonts w:hint="eastAsia"/>
              <w:lang w:val="en-US" w:eastAsia="zh-CN"/>
            </w:rPr>
            <w:t>七、其他需要说明的问题</w:t>
          </w:r>
          <w:r>
            <w:tab/>
          </w:r>
          <w:r>
            <w:fldChar w:fldCharType="begin"/>
          </w:r>
          <w:r>
            <w:instrText xml:space="preserve"> PAGEREF _Toc8224 \h </w:instrText>
          </w:r>
          <w:r>
            <w:fldChar w:fldCharType="separate"/>
          </w:r>
          <w:r>
            <w:t>- 36 -</w:t>
          </w:r>
          <w:r>
            <w:fldChar w:fldCharType="end"/>
          </w:r>
          <w:r>
            <w:fldChar w:fldCharType="end"/>
          </w:r>
        </w:p>
        <w:p w14:paraId="01E9142C">
          <w:pPr>
            <w:pStyle w:val="12"/>
            <w:tabs>
              <w:tab w:val="right" w:leader="dot" w:pos="8306"/>
            </w:tabs>
          </w:pPr>
          <w:r>
            <w:fldChar w:fldCharType="begin"/>
          </w:r>
          <w:r>
            <w:instrText xml:space="preserve"> HYPERLINK \l _Toc20608 </w:instrText>
          </w:r>
          <w:r>
            <w:fldChar w:fldCharType="separate"/>
          </w:r>
          <w:r>
            <w:rPr>
              <w:rFonts w:hint="eastAsia"/>
              <w:lang w:val="en-US" w:eastAsia="zh-CN"/>
            </w:rPr>
            <w:t>八、绩效评价结果应用建议</w:t>
          </w:r>
          <w:r>
            <w:tab/>
          </w:r>
          <w:r>
            <w:fldChar w:fldCharType="begin"/>
          </w:r>
          <w:r>
            <w:instrText xml:space="preserve"> PAGEREF _Toc20608 \h </w:instrText>
          </w:r>
          <w:r>
            <w:fldChar w:fldCharType="separate"/>
          </w:r>
          <w:r>
            <w:t>- 36 -</w:t>
          </w:r>
          <w:r>
            <w:fldChar w:fldCharType="end"/>
          </w:r>
          <w:r>
            <w:fldChar w:fldCharType="end"/>
          </w:r>
        </w:p>
        <w:p w14:paraId="502DFB43">
          <w:pPr>
            <w:pStyle w:val="12"/>
            <w:keepNext w:val="0"/>
            <w:keepLines w:val="0"/>
            <w:pageBreakBefore w:val="0"/>
            <w:widowControl w:val="0"/>
            <w:tabs>
              <w:tab w:val="right" w:leader="dot" w:pos="8306"/>
            </w:tabs>
            <w:kinsoku/>
            <w:wordWrap/>
            <w:overflowPunct/>
            <w:topLinePunct w:val="0"/>
            <w:autoSpaceDE/>
            <w:autoSpaceDN/>
            <w:bidi w:val="0"/>
            <w:adjustRightInd/>
            <w:snapToGrid/>
            <w:ind w:firstLine="640" w:firstLineChars="200"/>
            <w:textAlignment w:val="auto"/>
            <w:rPr>
              <w:b w:val="0"/>
              <w:caps/>
              <w:smallCaps w:val="0"/>
            </w:rPr>
          </w:pPr>
          <w:r>
            <w:rPr>
              <w:b w:val="0"/>
              <w:caps/>
              <w:smallCaps w:val="0"/>
            </w:rPr>
            <w:fldChar w:fldCharType="begin"/>
          </w:r>
          <w:r>
            <w:rPr>
              <w:b w:val="0"/>
              <w:caps/>
              <w:smallCaps w:val="0"/>
            </w:rPr>
            <w:instrText xml:space="preserve"> HYPERLINK \l _Toc130 </w:instrText>
          </w:r>
          <w:r>
            <w:rPr>
              <w:b w:val="0"/>
              <w:caps/>
              <w:smallCaps w:val="0"/>
            </w:rPr>
            <w:fldChar w:fldCharType="separate"/>
          </w:r>
          <w:r>
            <w:rPr>
              <w:rFonts w:hint="eastAsia"/>
              <w:b w:val="0"/>
              <w:caps/>
              <w:smallCaps w:val="0"/>
              <w:lang w:val="en-US" w:eastAsia="zh-CN"/>
            </w:rPr>
            <w:t>附件1:2025年城乡居民养老保险支出项目绩效评价指标综合评分表</w:t>
          </w:r>
          <w:r>
            <w:rPr>
              <w:b w:val="0"/>
              <w:caps/>
              <w:smallCaps w:val="0"/>
            </w:rPr>
            <w:tab/>
          </w:r>
          <w:r>
            <w:rPr>
              <w:b w:val="0"/>
              <w:caps/>
              <w:smallCaps w:val="0"/>
            </w:rPr>
            <w:fldChar w:fldCharType="begin"/>
          </w:r>
          <w:r>
            <w:rPr>
              <w:b w:val="0"/>
              <w:caps/>
              <w:smallCaps w:val="0"/>
            </w:rPr>
            <w:instrText xml:space="preserve"> PAGEREF _Toc130 \h </w:instrText>
          </w:r>
          <w:r>
            <w:rPr>
              <w:b w:val="0"/>
              <w:caps/>
              <w:smallCaps w:val="0"/>
            </w:rPr>
            <w:fldChar w:fldCharType="separate"/>
          </w:r>
          <w:r>
            <w:rPr>
              <w:b w:val="0"/>
              <w:caps/>
              <w:smallCaps w:val="0"/>
            </w:rPr>
            <w:t>- 38 -</w:t>
          </w:r>
          <w:r>
            <w:rPr>
              <w:b w:val="0"/>
              <w:caps/>
              <w:smallCaps w:val="0"/>
            </w:rPr>
            <w:fldChar w:fldCharType="end"/>
          </w:r>
          <w:r>
            <w:rPr>
              <w:b w:val="0"/>
              <w:caps/>
              <w:smallCaps w:val="0"/>
            </w:rPr>
            <w:fldChar w:fldCharType="end"/>
          </w:r>
        </w:p>
        <w:p w14:paraId="3EE6878A">
          <w:pPr>
            <w:pStyle w:val="12"/>
            <w:keepNext w:val="0"/>
            <w:keepLines w:val="0"/>
            <w:pageBreakBefore w:val="0"/>
            <w:widowControl w:val="0"/>
            <w:tabs>
              <w:tab w:val="right" w:leader="dot" w:pos="8306"/>
            </w:tabs>
            <w:kinsoku/>
            <w:wordWrap/>
            <w:overflowPunct/>
            <w:topLinePunct w:val="0"/>
            <w:autoSpaceDE/>
            <w:autoSpaceDN/>
            <w:bidi w:val="0"/>
            <w:adjustRightInd/>
            <w:snapToGrid/>
            <w:ind w:firstLine="640" w:firstLineChars="200"/>
            <w:textAlignment w:val="auto"/>
            <w:rPr>
              <w:b w:val="0"/>
              <w:caps/>
              <w:smallCaps w:val="0"/>
            </w:rPr>
          </w:pPr>
          <w:r>
            <w:rPr>
              <w:b w:val="0"/>
              <w:caps/>
              <w:smallCaps w:val="0"/>
            </w:rPr>
            <w:fldChar w:fldCharType="begin"/>
          </w:r>
          <w:r>
            <w:rPr>
              <w:b w:val="0"/>
              <w:caps/>
              <w:smallCaps w:val="0"/>
            </w:rPr>
            <w:instrText xml:space="preserve"> HYPERLINK \l _Toc200 </w:instrText>
          </w:r>
          <w:r>
            <w:rPr>
              <w:b w:val="0"/>
              <w:caps/>
              <w:smallCaps w:val="0"/>
            </w:rPr>
            <w:fldChar w:fldCharType="separate"/>
          </w:r>
          <w:r>
            <w:rPr>
              <w:rFonts w:hint="eastAsia"/>
              <w:b w:val="0"/>
              <w:caps/>
              <w:smallCaps w:val="0"/>
              <w:lang w:val="en-US" w:eastAsia="zh-CN"/>
            </w:rPr>
            <w:t>附件2：2025年城乡居民养老保险支出项目基础信息采集表</w:t>
          </w:r>
          <w:r>
            <w:rPr>
              <w:b w:val="0"/>
              <w:caps/>
              <w:smallCaps w:val="0"/>
            </w:rPr>
            <w:tab/>
          </w:r>
          <w:r>
            <w:rPr>
              <w:b w:val="0"/>
              <w:caps/>
              <w:smallCaps w:val="0"/>
            </w:rPr>
            <w:fldChar w:fldCharType="begin"/>
          </w:r>
          <w:r>
            <w:rPr>
              <w:b w:val="0"/>
              <w:caps/>
              <w:smallCaps w:val="0"/>
            </w:rPr>
            <w:instrText xml:space="preserve"> PAGEREF _Toc200 \h </w:instrText>
          </w:r>
          <w:r>
            <w:rPr>
              <w:b w:val="0"/>
              <w:caps/>
              <w:smallCaps w:val="0"/>
            </w:rPr>
            <w:fldChar w:fldCharType="separate"/>
          </w:r>
          <w:r>
            <w:rPr>
              <w:b w:val="0"/>
              <w:caps/>
              <w:smallCaps w:val="0"/>
            </w:rPr>
            <w:t>- 54 -</w:t>
          </w:r>
          <w:r>
            <w:rPr>
              <w:b w:val="0"/>
              <w:caps/>
              <w:smallCaps w:val="0"/>
            </w:rPr>
            <w:fldChar w:fldCharType="end"/>
          </w:r>
          <w:r>
            <w:rPr>
              <w:b w:val="0"/>
              <w:caps/>
              <w:smallCaps w:val="0"/>
            </w:rPr>
            <w:fldChar w:fldCharType="end"/>
          </w:r>
        </w:p>
        <w:p w14:paraId="1203C9DC">
          <w:pPr>
            <w:pStyle w:val="12"/>
            <w:keepNext w:val="0"/>
            <w:keepLines w:val="0"/>
            <w:pageBreakBefore w:val="0"/>
            <w:widowControl w:val="0"/>
            <w:tabs>
              <w:tab w:val="right" w:leader="dot" w:pos="8306"/>
            </w:tabs>
            <w:kinsoku/>
            <w:wordWrap/>
            <w:overflowPunct/>
            <w:topLinePunct w:val="0"/>
            <w:autoSpaceDE/>
            <w:autoSpaceDN/>
            <w:bidi w:val="0"/>
            <w:adjustRightInd/>
            <w:snapToGrid/>
            <w:ind w:firstLine="640" w:firstLineChars="200"/>
            <w:textAlignment w:val="auto"/>
            <w:rPr>
              <w:b w:val="0"/>
              <w:caps/>
              <w:smallCaps w:val="0"/>
            </w:rPr>
          </w:pPr>
          <w:r>
            <w:rPr>
              <w:b w:val="0"/>
              <w:caps/>
              <w:smallCaps w:val="0"/>
            </w:rPr>
            <w:fldChar w:fldCharType="begin"/>
          </w:r>
          <w:r>
            <w:rPr>
              <w:b w:val="0"/>
              <w:caps/>
              <w:smallCaps w:val="0"/>
            </w:rPr>
            <w:instrText xml:space="preserve"> HYPERLINK \l _Toc5122 </w:instrText>
          </w:r>
          <w:r>
            <w:rPr>
              <w:b w:val="0"/>
              <w:caps/>
              <w:smallCaps w:val="0"/>
            </w:rPr>
            <w:fldChar w:fldCharType="separate"/>
          </w:r>
          <w:r>
            <w:rPr>
              <w:rFonts w:hint="eastAsia"/>
              <w:b w:val="0"/>
              <w:caps/>
              <w:smallCaps w:val="0"/>
              <w:lang w:val="zh-CN" w:eastAsia="zh-CN"/>
            </w:rPr>
            <w:t>附件</w:t>
          </w:r>
          <w:r>
            <w:rPr>
              <w:rFonts w:hint="eastAsia"/>
              <w:b w:val="0"/>
              <w:caps/>
              <w:smallCaps w:val="0"/>
              <w:lang w:val="en-US" w:eastAsia="zh-CN"/>
            </w:rPr>
            <w:t>3：访谈记录</w:t>
          </w:r>
          <w:r>
            <w:rPr>
              <w:b w:val="0"/>
              <w:caps/>
              <w:smallCaps w:val="0"/>
            </w:rPr>
            <w:tab/>
          </w:r>
          <w:r>
            <w:rPr>
              <w:b w:val="0"/>
              <w:caps/>
              <w:smallCaps w:val="0"/>
            </w:rPr>
            <w:fldChar w:fldCharType="begin"/>
          </w:r>
          <w:r>
            <w:rPr>
              <w:b w:val="0"/>
              <w:caps/>
              <w:smallCaps w:val="0"/>
            </w:rPr>
            <w:instrText xml:space="preserve"> PAGEREF _Toc5122 \h </w:instrText>
          </w:r>
          <w:r>
            <w:rPr>
              <w:b w:val="0"/>
              <w:caps/>
              <w:smallCaps w:val="0"/>
            </w:rPr>
            <w:fldChar w:fldCharType="separate"/>
          </w:r>
          <w:r>
            <w:rPr>
              <w:b w:val="0"/>
              <w:caps/>
              <w:smallCaps w:val="0"/>
            </w:rPr>
            <w:t>- 56 -</w:t>
          </w:r>
          <w:r>
            <w:rPr>
              <w:b w:val="0"/>
              <w:caps/>
              <w:smallCaps w:val="0"/>
            </w:rPr>
            <w:fldChar w:fldCharType="end"/>
          </w:r>
          <w:r>
            <w:rPr>
              <w:b w:val="0"/>
              <w:caps/>
              <w:smallCaps w:val="0"/>
            </w:rPr>
            <w:fldChar w:fldCharType="end"/>
          </w:r>
        </w:p>
        <w:p w14:paraId="791AF4BA">
          <w:pPr>
            <w:pStyle w:val="12"/>
            <w:keepNext w:val="0"/>
            <w:keepLines w:val="0"/>
            <w:pageBreakBefore w:val="0"/>
            <w:widowControl w:val="0"/>
            <w:tabs>
              <w:tab w:val="right" w:leader="dot" w:pos="8306"/>
            </w:tabs>
            <w:kinsoku/>
            <w:wordWrap/>
            <w:overflowPunct/>
            <w:topLinePunct w:val="0"/>
            <w:autoSpaceDE/>
            <w:autoSpaceDN/>
            <w:bidi w:val="0"/>
            <w:adjustRightInd/>
            <w:snapToGrid/>
            <w:ind w:firstLine="640" w:firstLineChars="200"/>
            <w:textAlignment w:val="auto"/>
            <w:rPr>
              <w:b w:val="0"/>
              <w:caps/>
              <w:smallCaps w:val="0"/>
            </w:rPr>
          </w:pPr>
          <w:r>
            <w:rPr>
              <w:b w:val="0"/>
              <w:caps/>
              <w:smallCaps w:val="0"/>
            </w:rPr>
            <w:fldChar w:fldCharType="begin"/>
          </w:r>
          <w:r>
            <w:rPr>
              <w:b w:val="0"/>
              <w:caps/>
              <w:smallCaps w:val="0"/>
            </w:rPr>
            <w:instrText xml:space="preserve"> HYPERLINK \l _Toc3940 </w:instrText>
          </w:r>
          <w:r>
            <w:rPr>
              <w:b w:val="0"/>
              <w:caps/>
              <w:smallCaps w:val="0"/>
            </w:rPr>
            <w:fldChar w:fldCharType="separate"/>
          </w:r>
          <w:r>
            <w:rPr>
              <w:rFonts w:hint="eastAsia"/>
              <w:b w:val="0"/>
              <w:caps/>
              <w:smallCaps w:val="0"/>
              <w:lang w:val="en-US" w:eastAsia="zh-CN"/>
            </w:rPr>
            <w:t>附件4：财政局绩效评价报告确认单</w:t>
          </w:r>
          <w:r>
            <w:rPr>
              <w:b w:val="0"/>
              <w:caps/>
              <w:smallCaps w:val="0"/>
            </w:rPr>
            <w:tab/>
          </w:r>
          <w:r>
            <w:rPr>
              <w:b w:val="0"/>
              <w:caps/>
              <w:smallCaps w:val="0"/>
            </w:rPr>
            <w:fldChar w:fldCharType="begin"/>
          </w:r>
          <w:r>
            <w:rPr>
              <w:b w:val="0"/>
              <w:caps/>
              <w:smallCaps w:val="0"/>
            </w:rPr>
            <w:instrText xml:space="preserve"> PAGEREF _Toc3940 \h </w:instrText>
          </w:r>
          <w:r>
            <w:rPr>
              <w:b w:val="0"/>
              <w:caps/>
              <w:smallCaps w:val="0"/>
            </w:rPr>
            <w:fldChar w:fldCharType="separate"/>
          </w:r>
          <w:r>
            <w:rPr>
              <w:b w:val="0"/>
              <w:caps/>
              <w:smallCaps w:val="0"/>
            </w:rPr>
            <w:t>- 58 -</w:t>
          </w:r>
          <w:r>
            <w:rPr>
              <w:b w:val="0"/>
              <w:caps/>
              <w:smallCaps w:val="0"/>
            </w:rPr>
            <w:fldChar w:fldCharType="end"/>
          </w:r>
          <w:r>
            <w:rPr>
              <w:b w:val="0"/>
              <w:caps/>
              <w:smallCaps w:val="0"/>
            </w:rPr>
            <w:fldChar w:fldCharType="end"/>
          </w:r>
        </w:p>
        <w:p w14:paraId="26F06394">
          <w:pPr>
            <w:pStyle w:val="12"/>
            <w:keepNext w:val="0"/>
            <w:keepLines w:val="0"/>
            <w:pageBreakBefore w:val="0"/>
            <w:widowControl w:val="0"/>
            <w:tabs>
              <w:tab w:val="right" w:leader="dot" w:pos="8306"/>
            </w:tabs>
            <w:kinsoku/>
            <w:wordWrap/>
            <w:overflowPunct/>
            <w:topLinePunct w:val="0"/>
            <w:autoSpaceDE/>
            <w:autoSpaceDN/>
            <w:bidi w:val="0"/>
            <w:adjustRightInd/>
            <w:snapToGrid/>
            <w:ind w:firstLine="640" w:firstLineChars="200"/>
            <w:textAlignment w:val="auto"/>
            <w:rPr>
              <w:b w:val="0"/>
              <w:caps/>
              <w:smallCaps w:val="0"/>
            </w:rPr>
          </w:pPr>
          <w:r>
            <w:rPr>
              <w:b w:val="0"/>
              <w:caps/>
              <w:smallCaps w:val="0"/>
            </w:rPr>
            <w:fldChar w:fldCharType="begin"/>
          </w:r>
          <w:r>
            <w:rPr>
              <w:b w:val="0"/>
              <w:caps/>
              <w:smallCaps w:val="0"/>
            </w:rPr>
            <w:instrText xml:space="preserve"> HYPERLINK \l _Toc27260 </w:instrText>
          </w:r>
          <w:r>
            <w:rPr>
              <w:b w:val="0"/>
              <w:caps/>
              <w:smallCaps w:val="0"/>
            </w:rPr>
            <w:fldChar w:fldCharType="separate"/>
          </w:r>
          <w:r>
            <w:rPr>
              <w:rFonts w:hint="eastAsia"/>
              <w:b w:val="0"/>
              <w:caps/>
              <w:smallCaps w:val="0"/>
              <w:lang w:val="en-US" w:eastAsia="zh-CN"/>
            </w:rPr>
            <w:t>附件5：预算单位绩效评价报告确认单</w:t>
          </w:r>
          <w:r>
            <w:rPr>
              <w:b w:val="0"/>
              <w:caps/>
              <w:smallCaps w:val="0"/>
            </w:rPr>
            <w:tab/>
          </w:r>
          <w:r>
            <w:rPr>
              <w:b w:val="0"/>
              <w:caps/>
              <w:smallCaps w:val="0"/>
            </w:rPr>
            <w:fldChar w:fldCharType="begin"/>
          </w:r>
          <w:r>
            <w:rPr>
              <w:b w:val="0"/>
              <w:caps/>
              <w:smallCaps w:val="0"/>
            </w:rPr>
            <w:instrText xml:space="preserve"> PAGEREF _Toc27260 \h </w:instrText>
          </w:r>
          <w:r>
            <w:rPr>
              <w:b w:val="0"/>
              <w:caps/>
              <w:smallCaps w:val="0"/>
            </w:rPr>
            <w:fldChar w:fldCharType="separate"/>
          </w:r>
          <w:r>
            <w:rPr>
              <w:b w:val="0"/>
              <w:caps/>
              <w:smallCaps w:val="0"/>
            </w:rPr>
            <w:t>- 59 -</w:t>
          </w:r>
          <w:r>
            <w:rPr>
              <w:b w:val="0"/>
              <w:caps/>
              <w:smallCaps w:val="0"/>
            </w:rPr>
            <w:fldChar w:fldCharType="end"/>
          </w:r>
          <w:r>
            <w:rPr>
              <w:b w:val="0"/>
              <w:caps/>
              <w:smallCaps w:val="0"/>
            </w:rPr>
            <w:fldChar w:fldCharType="end"/>
          </w:r>
        </w:p>
        <w:p w14:paraId="3E20E2FB">
          <w:pPr>
            <w:pStyle w:val="12"/>
            <w:keepNext w:val="0"/>
            <w:keepLines w:val="0"/>
            <w:pageBreakBefore w:val="0"/>
            <w:widowControl w:val="0"/>
            <w:tabs>
              <w:tab w:val="right" w:leader="dot" w:pos="8306"/>
            </w:tabs>
            <w:kinsoku/>
            <w:wordWrap/>
            <w:overflowPunct/>
            <w:topLinePunct w:val="0"/>
            <w:autoSpaceDE/>
            <w:autoSpaceDN/>
            <w:bidi w:val="0"/>
            <w:adjustRightInd/>
            <w:snapToGrid/>
            <w:ind w:firstLine="640" w:firstLineChars="200"/>
            <w:textAlignment w:val="auto"/>
            <w:rPr>
              <w:b w:val="0"/>
              <w:caps/>
              <w:smallCaps w:val="0"/>
            </w:rPr>
          </w:pPr>
          <w:r>
            <w:rPr>
              <w:b w:val="0"/>
              <w:caps/>
              <w:smallCaps w:val="0"/>
            </w:rPr>
            <w:fldChar w:fldCharType="begin"/>
          </w:r>
          <w:r>
            <w:rPr>
              <w:b w:val="0"/>
              <w:caps/>
              <w:smallCaps w:val="0"/>
            </w:rPr>
            <w:instrText xml:space="preserve"> HYPERLINK \l _Toc27689 </w:instrText>
          </w:r>
          <w:r>
            <w:rPr>
              <w:b w:val="0"/>
              <w:caps/>
              <w:smallCaps w:val="0"/>
            </w:rPr>
            <w:fldChar w:fldCharType="separate"/>
          </w:r>
          <w:r>
            <w:rPr>
              <w:rFonts w:hint="eastAsia"/>
              <w:b w:val="0"/>
              <w:caps/>
              <w:smallCaps w:val="0"/>
              <w:lang w:eastAsia="zh-CN"/>
            </w:rPr>
            <w:t>附件</w:t>
          </w:r>
          <w:r>
            <w:rPr>
              <w:rFonts w:hint="eastAsia"/>
              <w:b w:val="0"/>
              <w:caps/>
              <w:smallCaps w:val="0"/>
              <w:lang w:val="en-US" w:eastAsia="zh-CN"/>
            </w:rPr>
            <w:t>6：满意度调查问卷分析报告</w:t>
          </w:r>
          <w:r>
            <w:rPr>
              <w:b w:val="0"/>
              <w:caps/>
              <w:smallCaps w:val="0"/>
            </w:rPr>
            <w:tab/>
          </w:r>
          <w:r>
            <w:rPr>
              <w:b w:val="0"/>
              <w:caps/>
              <w:smallCaps w:val="0"/>
            </w:rPr>
            <w:fldChar w:fldCharType="begin"/>
          </w:r>
          <w:r>
            <w:rPr>
              <w:b w:val="0"/>
              <w:caps/>
              <w:smallCaps w:val="0"/>
            </w:rPr>
            <w:instrText xml:space="preserve"> PAGEREF _Toc27689 \h </w:instrText>
          </w:r>
          <w:r>
            <w:rPr>
              <w:b w:val="0"/>
              <w:caps/>
              <w:smallCaps w:val="0"/>
            </w:rPr>
            <w:fldChar w:fldCharType="separate"/>
          </w:r>
          <w:r>
            <w:rPr>
              <w:b w:val="0"/>
              <w:caps/>
              <w:smallCaps w:val="0"/>
            </w:rPr>
            <w:t>- 60 -</w:t>
          </w:r>
          <w:r>
            <w:rPr>
              <w:b w:val="0"/>
              <w:caps/>
              <w:smallCaps w:val="0"/>
            </w:rPr>
            <w:fldChar w:fldCharType="end"/>
          </w:r>
          <w:r>
            <w:rPr>
              <w:b w:val="0"/>
              <w:caps/>
              <w:smallCaps w:val="0"/>
            </w:rPr>
            <w:fldChar w:fldCharType="end"/>
          </w:r>
        </w:p>
        <w:p w14:paraId="3B3F8082">
          <w:pPr>
            <w:pStyle w:val="12"/>
            <w:keepNext w:val="0"/>
            <w:keepLines w:val="0"/>
            <w:pageBreakBefore w:val="0"/>
            <w:widowControl w:val="0"/>
            <w:tabs>
              <w:tab w:val="right" w:leader="dot" w:pos="8306"/>
            </w:tabs>
            <w:kinsoku/>
            <w:wordWrap/>
            <w:overflowPunct/>
            <w:topLinePunct w:val="0"/>
            <w:autoSpaceDE/>
            <w:autoSpaceDN/>
            <w:bidi w:val="0"/>
            <w:adjustRightInd/>
            <w:snapToGrid/>
            <w:ind w:firstLine="640" w:firstLineChars="200"/>
            <w:textAlignment w:val="auto"/>
          </w:pPr>
          <w:r>
            <w:rPr>
              <w:b w:val="0"/>
              <w:caps/>
              <w:smallCaps w:val="0"/>
            </w:rPr>
            <w:fldChar w:fldCharType="begin"/>
          </w:r>
          <w:r>
            <w:rPr>
              <w:b w:val="0"/>
              <w:caps/>
              <w:smallCaps w:val="0"/>
            </w:rPr>
            <w:instrText xml:space="preserve"> HYPERLINK \l _Toc32311 </w:instrText>
          </w:r>
          <w:r>
            <w:rPr>
              <w:b w:val="0"/>
              <w:caps/>
              <w:smallCaps w:val="0"/>
            </w:rPr>
            <w:fldChar w:fldCharType="separate"/>
          </w:r>
          <w:r>
            <w:rPr>
              <w:rFonts w:hint="eastAsia"/>
              <w:b w:val="0"/>
              <w:caps/>
              <w:smallCaps w:val="0"/>
              <w:lang w:val="zh-CN" w:eastAsia="zh-CN"/>
            </w:rPr>
            <w:t>附件</w:t>
          </w:r>
          <w:r>
            <w:rPr>
              <w:rFonts w:hint="eastAsia"/>
              <w:b w:val="0"/>
              <w:caps/>
              <w:smallCaps w:val="0"/>
              <w:lang w:val="en-US" w:eastAsia="zh-CN"/>
            </w:rPr>
            <w:t>7：工作记录图片</w:t>
          </w:r>
          <w:r>
            <w:rPr>
              <w:b w:val="0"/>
              <w:caps/>
              <w:smallCaps w:val="0"/>
            </w:rPr>
            <w:tab/>
          </w:r>
          <w:r>
            <w:rPr>
              <w:b w:val="0"/>
              <w:caps/>
              <w:smallCaps w:val="0"/>
            </w:rPr>
            <w:fldChar w:fldCharType="begin"/>
          </w:r>
          <w:r>
            <w:rPr>
              <w:b w:val="0"/>
              <w:caps/>
              <w:smallCaps w:val="0"/>
            </w:rPr>
            <w:instrText xml:space="preserve"> PAGEREF _Toc32311 \h </w:instrText>
          </w:r>
          <w:r>
            <w:rPr>
              <w:b w:val="0"/>
              <w:caps/>
              <w:smallCaps w:val="0"/>
            </w:rPr>
            <w:fldChar w:fldCharType="separate"/>
          </w:r>
          <w:r>
            <w:rPr>
              <w:b w:val="0"/>
              <w:caps/>
              <w:smallCaps w:val="0"/>
            </w:rPr>
            <w:t>- 63 -</w:t>
          </w:r>
          <w:r>
            <w:rPr>
              <w:b w:val="0"/>
              <w:caps/>
              <w:smallCaps w:val="0"/>
            </w:rPr>
            <w:fldChar w:fldCharType="end"/>
          </w:r>
          <w:r>
            <w:rPr>
              <w:b w:val="0"/>
              <w:caps/>
              <w:smallCaps w:val="0"/>
            </w:rPr>
            <w:fldChar w:fldCharType="end"/>
          </w:r>
        </w:p>
        <w:p w14:paraId="5A349A71">
          <w:pPr>
            <w:rPr>
              <w:b/>
            </w:rPr>
            <w:sectPr>
              <w:headerReference r:id="rId5" w:type="default"/>
              <w:pgSz w:w="11906" w:h="16838"/>
              <w:pgMar w:top="1440" w:right="1800" w:bottom="1440" w:left="1800" w:header="851" w:footer="992" w:gutter="0"/>
              <w:pgNumType w:fmt="decimal" w:start="1"/>
              <w:cols w:space="425" w:num="1"/>
              <w:docGrid w:type="lines" w:linePitch="312" w:charSpace="0"/>
            </w:sectPr>
          </w:pPr>
          <w:r>
            <w:fldChar w:fldCharType="end"/>
          </w:r>
        </w:p>
      </w:sdtContent>
    </w:sdt>
    <w:p w14:paraId="7B825629">
      <w:pPr>
        <w:rPr>
          <w:b/>
        </w:rPr>
      </w:pPr>
    </w:p>
    <w:p w14:paraId="07F113ED">
      <w:pPr>
        <w:pStyle w:val="8"/>
        <w:bidi w:val="0"/>
        <w:ind w:left="0" w:leftChars="0" w:firstLine="0" w:firstLineChars="0"/>
        <w:jc w:val="center"/>
        <w:rPr>
          <w:rFonts w:hint="eastAsia"/>
          <w:lang w:eastAsia="zh-CN"/>
        </w:rPr>
      </w:pPr>
      <w:r>
        <w:rPr>
          <w:rFonts w:hint="eastAsia"/>
          <w:lang w:eastAsia="zh-CN"/>
        </w:rPr>
        <w:t>2025年城乡居民养老保险支出项目</w:t>
      </w:r>
    </w:p>
    <w:p w14:paraId="56380DD8">
      <w:pPr>
        <w:pStyle w:val="8"/>
        <w:bidi w:val="0"/>
        <w:ind w:left="0" w:leftChars="0" w:firstLine="0" w:firstLineChars="0"/>
        <w:jc w:val="center"/>
        <w:rPr>
          <w:rFonts w:hint="eastAsia"/>
          <w:lang w:eastAsia="zh-CN"/>
        </w:rPr>
      </w:pPr>
      <w:r>
        <w:rPr>
          <w:rFonts w:hint="eastAsia"/>
          <w:lang w:eastAsia="zh-CN"/>
        </w:rPr>
        <w:t>绩效评价报告</w:t>
      </w:r>
      <w:bookmarkEnd w:id="140"/>
      <w:bookmarkEnd w:id="141"/>
      <w:bookmarkEnd w:id="142"/>
    </w:p>
    <w:p w14:paraId="07A734C3">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textAlignment w:val="auto"/>
        <w:outlineLvl w:val="9"/>
        <w:rPr>
          <w:rFonts w:hint="eastAsia" w:ascii="方正仿宋_GBK" w:hAnsi="方正仿宋_GBK" w:eastAsia="方正仿宋_GBK" w:cs="方正仿宋_GBK"/>
          <w:b w:val="0"/>
          <w:bCs/>
          <w:spacing w:val="-1"/>
          <w:sz w:val="32"/>
          <w:szCs w:val="32"/>
          <w:lang w:eastAsia="zh-CN"/>
        </w:rPr>
      </w:pPr>
    </w:p>
    <w:p w14:paraId="1A5D004D">
      <w:pPr>
        <w:bidi w:val="0"/>
        <w:ind w:left="0" w:leftChars="0" w:firstLine="0" w:firstLineChars="0"/>
        <w:rPr>
          <w:rFonts w:hint="eastAsia"/>
        </w:rPr>
      </w:pPr>
      <w:bookmarkStart w:id="143" w:name="_Toc23893"/>
      <w:bookmarkStart w:id="144" w:name="_Toc5015"/>
      <w:r>
        <w:rPr>
          <w:rFonts w:hint="eastAsia"/>
          <w:lang w:eastAsia="zh-CN"/>
        </w:rPr>
        <w:t>莎车县</w:t>
      </w:r>
      <w:r>
        <w:rPr>
          <w:rFonts w:hint="eastAsia"/>
        </w:rPr>
        <w:t>财政局：</w:t>
      </w:r>
      <w:bookmarkEnd w:id="143"/>
      <w:bookmarkEnd w:id="144"/>
    </w:p>
    <w:p w14:paraId="37A2FEE7">
      <w:pPr>
        <w:bidi w:val="0"/>
        <w:rPr>
          <w:rFonts w:hint="eastAsia"/>
        </w:rPr>
      </w:pPr>
      <w:bookmarkStart w:id="145" w:name="_Toc24307"/>
      <w:bookmarkStart w:id="146" w:name="_Toc26089"/>
      <w:r>
        <w:rPr>
          <w:rFonts w:hint="eastAsia"/>
        </w:rPr>
        <w:t>为贯彻落实全面推进预算绩效管理工作的要求，完善部门预算管理，强化预算支出责任，提高</w:t>
      </w:r>
      <w:r>
        <w:rPr>
          <w:rFonts w:hint="eastAsia"/>
          <w:lang w:eastAsia="zh-CN"/>
        </w:rPr>
        <w:t>财政资金使用</w:t>
      </w:r>
      <w:r>
        <w:rPr>
          <w:rFonts w:hint="eastAsia"/>
        </w:rPr>
        <w:t>效益，根据《中华人民共和国预算法》</w:t>
      </w:r>
      <w:r>
        <w:rPr>
          <w:rFonts w:hint="eastAsia"/>
          <w:lang w:eastAsia="zh-CN"/>
        </w:rPr>
        <w:t>《中共中央 国务院</w:t>
      </w:r>
      <w:r>
        <w:rPr>
          <w:rFonts w:hint="eastAsia"/>
        </w:rPr>
        <w:t>关于全面实施预算绩效管理的意见》</w:t>
      </w:r>
      <w:r>
        <w:rPr>
          <w:rFonts w:hint="eastAsia"/>
          <w:lang w:eastAsia="zh-CN"/>
        </w:rPr>
        <w:t>（</w:t>
      </w:r>
      <w:r>
        <w:rPr>
          <w:rFonts w:hint="eastAsia"/>
        </w:rPr>
        <w:t>中发〔2018〕34号</w:t>
      </w:r>
      <w:r>
        <w:rPr>
          <w:rFonts w:hint="eastAsia"/>
          <w:lang w:eastAsia="zh-CN"/>
        </w:rPr>
        <w:t>）</w:t>
      </w:r>
      <w:r>
        <w:rPr>
          <w:rFonts w:hint="eastAsia"/>
        </w:rPr>
        <w:t>、《项目支出绩效评价管理办法》</w:t>
      </w:r>
      <w:r>
        <w:rPr>
          <w:rFonts w:hint="eastAsia"/>
          <w:lang w:eastAsia="zh-CN"/>
        </w:rPr>
        <w:t>（</w:t>
      </w:r>
      <w:r>
        <w:rPr>
          <w:rFonts w:hint="eastAsia"/>
        </w:rPr>
        <w:t>财预〔2020〕10号</w:t>
      </w:r>
      <w:r>
        <w:rPr>
          <w:rFonts w:hint="eastAsia"/>
          <w:lang w:eastAsia="zh-CN"/>
        </w:rPr>
        <w:t>）</w:t>
      </w:r>
      <w:r>
        <w:rPr>
          <w:rFonts w:hint="eastAsia"/>
        </w:rPr>
        <w:t>、《财政部关于印发〈第三方机构预算绩效评价业务监督管理暂行办法〉的通知》</w:t>
      </w:r>
      <w:r>
        <w:rPr>
          <w:rFonts w:hint="eastAsia"/>
          <w:lang w:eastAsia="zh-CN"/>
        </w:rPr>
        <w:t>（</w:t>
      </w:r>
      <w:r>
        <w:rPr>
          <w:rFonts w:hint="eastAsia"/>
        </w:rPr>
        <w:t>财监〔2021〕4号</w:t>
      </w:r>
      <w:r>
        <w:rPr>
          <w:rFonts w:hint="eastAsia"/>
          <w:lang w:eastAsia="zh-CN"/>
        </w:rPr>
        <w:t>）</w:t>
      </w:r>
      <w:r>
        <w:rPr>
          <w:rFonts w:hint="eastAsia"/>
        </w:rPr>
        <w:t>、《关于委托第三方机构参与预算绩效管理的指导意见》</w:t>
      </w:r>
      <w:r>
        <w:rPr>
          <w:rFonts w:hint="eastAsia"/>
          <w:lang w:eastAsia="zh-CN"/>
        </w:rPr>
        <w:t>（</w:t>
      </w:r>
      <w:r>
        <w:rPr>
          <w:rFonts w:hint="eastAsia"/>
        </w:rPr>
        <w:t>财预〔2021〕6号</w:t>
      </w:r>
      <w:r>
        <w:rPr>
          <w:rFonts w:hint="eastAsia"/>
          <w:lang w:eastAsia="zh-CN"/>
        </w:rPr>
        <w:t>）</w:t>
      </w:r>
      <w:r>
        <w:rPr>
          <w:rFonts w:hint="eastAsia"/>
        </w:rPr>
        <w:t>、《关于进一步加强和规范第三方机构参与预算绩效管理的通知》</w:t>
      </w:r>
      <w:r>
        <w:rPr>
          <w:rFonts w:hint="eastAsia"/>
          <w:lang w:eastAsia="zh-CN"/>
        </w:rPr>
        <w:t>（</w:t>
      </w:r>
      <w:r>
        <w:rPr>
          <w:rFonts w:hint="eastAsia"/>
        </w:rPr>
        <w:t>新财预〔2021〕49号</w:t>
      </w:r>
      <w:r>
        <w:rPr>
          <w:rFonts w:hint="eastAsia"/>
          <w:lang w:eastAsia="zh-CN"/>
        </w:rPr>
        <w:t>）</w:t>
      </w:r>
      <w:r>
        <w:rPr>
          <w:rFonts w:hint="eastAsia"/>
        </w:rPr>
        <w:t>、《自治区党委自治区人民政府关于全面实施预算绩效管理的实施意见》</w:t>
      </w:r>
      <w:r>
        <w:rPr>
          <w:rFonts w:hint="eastAsia"/>
          <w:lang w:eastAsia="zh-CN"/>
        </w:rPr>
        <w:t>（</w:t>
      </w:r>
      <w:r>
        <w:rPr>
          <w:rFonts w:hint="eastAsia"/>
        </w:rPr>
        <w:t>新党发〔2018〕30号</w:t>
      </w:r>
      <w:r>
        <w:rPr>
          <w:rFonts w:hint="eastAsia"/>
          <w:lang w:eastAsia="zh-CN"/>
        </w:rPr>
        <w:t>）、《关于进一步加强和规范喀什地区项目支出“全过程”预算绩效管理结果应用的通知》（喀地财绩〔2022〕2号）</w:t>
      </w:r>
      <w:r>
        <w:rPr>
          <w:rFonts w:hint="eastAsia"/>
        </w:rPr>
        <w:t>等系列文件的要求，受</w:t>
      </w:r>
      <w:r>
        <w:rPr>
          <w:rFonts w:hint="eastAsia"/>
          <w:lang w:eastAsia="zh-CN"/>
        </w:rPr>
        <w:t>贵</w:t>
      </w:r>
      <w:r>
        <w:rPr>
          <w:rFonts w:hint="eastAsia"/>
        </w:rPr>
        <w:t>局的委托，新疆鸿晟达信息咨询有限公司承担了</w:t>
      </w:r>
      <w:r>
        <w:rPr>
          <w:rFonts w:hint="eastAsia"/>
          <w:lang w:val="en-US" w:eastAsia="zh-CN"/>
        </w:rPr>
        <w:t>2025年城乡居民养老保险支出项目</w:t>
      </w:r>
      <w:r>
        <w:rPr>
          <w:rFonts w:hint="eastAsia"/>
        </w:rPr>
        <w:t>的绩效评价工作并形成绩效评价报告，</w:t>
      </w:r>
      <w:r>
        <w:rPr>
          <w:rFonts w:hint="eastAsia"/>
          <w:lang w:val="en-US" w:eastAsia="zh-CN"/>
        </w:rPr>
        <w:t>莎车县社会保险中心</w:t>
      </w:r>
      <w:r>
        <w:rPr>
          <w:rFonts w:hint="eastAsia"/>
        </w:rPr>
        <w:t>负责提供与本次绩效评价相关的项目资料并保证项目资料的真实、合法、准确和完整，现将项目绩效评价情况报告如下：</w:t>
      </w:r>
      <w:bookmarkEnd w:id="145"/>
      <w:bookmarkEnd w:id="146"/>
    </w:p>
    <w:p w14:paraId="48A88F2E">
      <w:pPr>
        <w:pStyle w:val="5"/>
        <w:bidi w:val="0"/>
        <w:rPr>
          <w:rFonts w:hint="eastAsia"/>
        </w:rPr>
      </w:pPr>
      <w:bookmarkStart w:id="147" w:name="_Toc1205"/>
      <w:bookmarkStart w:id="148" w:name="_Toc30050"/>
      <w:bookmarkStart w:id="149" w:name="_Toc11116"/>
      <w:bookmarkStart w:id="150" w:name="_Toc4810"/>
      <w:bookmarkStart w:id="151" w:name="_Toc30512"/>
      <w:bookmarkStart w:id="152" w:name="_Toc25756"/>
      <w:bookmarkStart w:id="153" w:name="_Toc2794"/>
      <w:bookmarkStart w:id="154" w:name="_Toc32751"/>
      <w:r>
        <w:rPr>
          <w:rFonts w:hint="eastAsia"/>
          <w:lang w:val="en-US" w:eastAsia="zh-CN"/>
        </w:rPr>
        <w:t>一、基本情况</w:t>
      </w:r>
      <w:bookmarkEnd w:id="147"/>
      <w:bookmarkEnd w:id="148"/>
      <w:bookmarkEnd w:id="149"/>
      <w:bookmarkEnd w:id="150"/>
      <w:bookmarkEnd w:id="151"/>
      <w:bookmarkEnd w:id="152"/>
      <w:bookmarkEnd w:id="153"/>
      <w:bookmarkEnd w:id="154"/>
    </w:p>
    <w:p w14:paraId="6C04E95A">
      <w:pPr>
        <w:pStyle w:val="6"/>
        <w:bidi w:val="0"/>
        <w:rPr>
          <w:rFonts w:hint="eastAsia"/>
          <w:lang w:val="en-US" w:eastAsia="zh-CN"/>
        </w:rPr>
      </w:pPr>
      <w:bookmarkStart w:id="155" w:name="_Toc7791"/>
      <w:bookmarkStart w:id="156" w:name="_Toc20364"/>
      <w:bookmarkStart w:id="157" w:name="_Toc9496"/>
      <w:bookmarkStart w:id="158" w:name="_Toc30980"/>
      <w:bookmarkStart w:id="159" w:name="_Toc15558"/>
      <w:bookmarkStart w:id="160" w:name="_Toc17399"/>
      <w:bookmarkStart w:id="161" w:name="_Toc24443"/>
      <w:bookmarkStart w:id="162" w:name="_Toc30475"/>
      <w:bookmarkStart w:id="163" w:name="_Toc26312"/>
      <w:bookmarkStart w:id="164" w:name="_Toc6588"/>
      <w:bookmarkStart w:id="165" w:name="_Toc22038"/>
      <w:r>
        <w:rPr>
          <w:rFonts w:hint="eastAsia"/>
          <w:lang w:val="en-US" w:eastAsia="zh-CN"/>
        </w:rPr>
        <w:t>（一）项目概况</w:t>
      </w:r>
      <w:bookmarkEnd w:id="155"/>
      <w:bookmarkEnd w:id="156"/>
      <w:bookmarkEnd w:id="157"/>
      <w:bookmarkEnd w:id="158"/>
      <w:bookmarkEnd w:id="159"/>
      <w:bookmarkEnd w:id="160"/>
      <w:bookmarkEnd w:id="161"/>
      <w:bookmarkEnd w:id="162"/>
      <w:bookmarkEnd w:id="163"/>
      <w:bookmarkEnd w:id="164"/>
      <w:bookmarkEnd w:id="165"/>
    </w:p>
    <w:p w14:paraId="409A9689">
      <w:pPr>
        <w:pStyle w:val="7"/>
        <w:bidi w:val="0"/>
        <w:rPr>
          <w:rFonts w:hint="eastAsia"/>
          <w:b/>
          <w:bCs w:val="0"/>
          <w:lang w:val="en-US" w:eastAsia="zh-CN"/>
        </w:rPr>
      </w:pPr>
      <w:bookmarkStart w:id="166" w:name="_Toc27303"/>
      <w:bookmarkStart w:id="167" w:name="_Toc3852"/>
      <w:bookmarkStart w:id="168" w:name="_Toc29206"/>
      <w:bookmarkStart w:id="169" w:name="_Toc18137"/>
      <w:bookmarkStart w:id="170" w:name="_Toc22727"/>
      <w:bookmarkStart w:id="171" w:name="_Toc1361"/>
      <w:bookmarkStart w:id="172" w:name="_Toc10012"/>
      <w:r>
        <w:rPr>
          <w:rFonts w:hint="eastAsia"/>
          <w:b/>
          <w:bCs w:val="0"/>
          <w:lang w:val="en-US" w:eastAsia="zh-CN"/>
        </w:rPr>
        <w:t>1.项目背景</w:t>
      </w:r>
      <w:bookmarkEnd w:id="166"/>
      <w:bookmarkEnd w:id="167"/>
      <w:bookmarkEnd w:id="168"/>
      <w:bookmarkEnd w:id="169"/>
      <w:bookmarkEnd w:id="170"/>
      <w:bookmarkEnd w:id="171"/>
      <w:bookmarkEnd w:id="172"/>
      <w:bookmarkStart w:id="173" w:name="_Toc344"/>
      <w:bookmarkStart w:id="174" w:name="_Toc7734"/>
      <w:bookmarkStart w:id="175" w:name="_Toc21879"/>
      <w:bookmarkStart w:id="176" w:name="_Toc24534"/>
    </w:p>
    <w:p w14:paraId="58970EFC">
      <w:pPr>
        <w:bidi w:val="0"/>
        <w:rPr>
          <w:rFonts w:hint="eastAsia"/>
          <w:lang w:val="en-US" w:eastAsia="zh-CN"/>
        </w:rPr>
      </w:pPr>
      <w:bookmarkStart w:id="177" w:name="_Toc10003"/>
      <w:bookmarkStart w:id="178" w:name="_Toc11543"/>
      <w:r>
        <w:rPr>
          <w:rFonts w:hint="eastAsia"/>
          <w:lang w:val="en-US" w:eastAsia="zh-CN"/>
        </w:rPr>
        <w:t>当前我国新增人口数量持续走低，人口老龄化越来越严重，养老保险问题越来越受到关注。城乡居民养老保险作为我国社会保障体系的重要组成部分，其重要性不断凸显。中国人口老龄化呈现逐步加速趋势，建立统一的城乡居民基本养老保险制度，使全体人民公平地享有基本养老保障，是中国经济社会发展的必然要求，城乡居民养老保险制度的统一是中国的基本养老保险制度改革迈出的重要一步，国务院常务会议决定合并新型农村社会养老保险和城镇居民社会养老保险，建立全国统一的城乡居民基本养老保险制度，要求整合资源，推动城乡居民基本养老保险制度与其他社会保障制度相衔接。优化财政支出结构，加大财政投入，大力推行全国统一的社会保障卡，改进管理服务，做到方便利民。要严格基金监管，严肃查处虚报冒领、挤占挪用等违法违规行为，发挥制度的保障作用，让亿万老年人心中有底、基本生活无忧。</w:t>
      </w:r>
      <w:bookmarkEnd w:id="177"/>
      <w:bookmarkEnd w:id="178"/>
    </w:p>
    <w:p w14:paraId="48CC7A53">
      <w:pPr>
        <w:bidi w:val="0"/>
        <w:rPr>
          <w:rFonts w:hint="eastAsia"/>
          <w:lang w:val="en-US" w:eastAsia="zh-CN"/>
        </w:rPr>
      </w:pPr>
      <w:r>
        <w:rPr>
          <w:rFonts w:hint="eastAsia"/>
          <w:lang w:val="en-US" w:eastAsia="zh-CN"/>
        </w:rPr>
        <w:t>中央下决心推进制度并轨，并非仅停留在政策表述层面，表明对这一社会福利制度改革的高度重视。在中国迅速步入老龄化社会的背景下，基本养老保险制度城乡并轨，将有助于应对老龄化社会的挑战。城乡居民养老保险制度，不仅让亿万老年人能够“老有所依”、生活无忧，更增强了全社会的安全感和凝聚力。此外，还有利于促进人口纵向流动，对于拉动消费、鼓励创新创业，同样具有重要意义。综上所述，根据《关于印发自治区建立统一的城乡居民基本养老保险制度实施办法的通知》（新政发〔2014〕76号）、《关于建立自治区城乡居民基本养老保险待遇确定和基础养老金正常调整机制的实施意见》（新人社发〔2018〕43号）文件要求实施，项目实施为全面建成公平统一规范的城乡居民养老保险制度，推动对实现社会稳定和长治久安总目标以及推动城乡居民基本养老保险制度可持续发展具有重要意义和作用。</w:t>
      </w:r>
    </w:p>
    <w:p w14:paraId="4867617B">
      <w:pPr>
        <w:pStyle w:val="7"/>
        <w:bidi w:val="0"/>
        <w:rPr>
          <w:rFonts w:hint="eastAsia"/>
          <w:lang w:val="en-US" w:eastAsia="zh-CN"/>
        </w:rPr>
      </w:pPr>
      <w:bookmarkStart w:id="179" w:name="_Toc7181"/>
      <w:bookmarkStart w:id="180" w:name="_Toc28172"/>
      <w:bookmarkStart w:id="181" w:name="_Toc4446"/>
      <w:r>
        <w:rPr>
          <w:rFonts w:hint="eastAsia"/>
          <w:lang w:val="en-US" w:eastAsia="zh-CN"/>
        </w:rPr>
        <w:t>2.项目实施主体</w:t>
      </w:r>
      <w:bookmarkEnd w:id="179"/>
      <w:bookmarkEnd w:id="180"/>
    </w:p>
    <w:p w14:paraId="65637397">
      <w:pPr>
        <w:bidi w:val="0"/>
        <w:rPr>
          <w:rFonts w:hint="eastAsia"/>
          <w:lang w:val="en-US" w:eastAsia="zh-CN"/>
        </w:rPr>
      </w:pPr>
      <w:r>
        <w:rPr>
          <w:rFonts w:hint="eastAsia"/>
          <w:lang w:val="en-US" w:eastAsia="zh-CN"/>
        </w:rPr>
        <w:t>项目实施主体为莎车县社会保险中心，为副科级单位，主要职责是：</w:t>
      </w:r>
    </w:p>
    <w:p w14:paraId="68BA59B5">
      <w:pPr>
        <w:bidi w:val="0"/>
        <w:rPr>
          <w:rFonts w:hint="eastAsia"/>
          <w:lang w:val="en-US" w:eastAsia="zh-CN"/>
        </w:rPr>
      </w:pPr>
      <w:r>
        <w:rPr>
          <w:rFonts w:hint="eastAsia"/>
          <w:lang w:val="en-US" w:eastAsia="zh-CN"/>
        </w:rPr>
        <w:t>（1）贯彻执行社会保险政策法规，宣传各项社会保险政策，扩大参保覆盖面。</w:t>
      </w:r>
    </w:p>
    <w:p w14:paraId="3A7DA64F">
      <w:pPr>
        <w:bidi w:val="0"/>
        <w:rPr>
          <w:rFonts w:hint="eastAsia"/>
          <w:lang w:val="en-US" w:eastAsia="zh-CN"/>
        </w:rPr>
      </w:pPr>
      <w:r>
        <w:rPr>
          <w:rFonts w:hint="eastAsia"/>
          <w:lang w:val="en-US" w:eastAsia="zh-CN"/>
        </w:rPr>
        <w:t>（2）负责办理社会保险登记。受理参保对象的缴费申报，核定缴费额并确定用人单位工伤保险缴费费率。</w:t>
      </w:r>
    </w:p>
    <w:p w14:paraId="7448E3CC">
      <w:pPr>
        <w:bidi w:val="0"/>
        <w:rPr>
          <w:rFonts w:hint="eastAsia"/>
          <w:lang w:val="en-US" w:eastAsia="zh-CN"/>
        </w:rPr>
      </w:pPr>
      <w:r>
        <w:rPr>
          <w:rFonts w:hint="eastAsia"/>
          <w:lang w:val="en-US" w:eastAsia="zh-CN"/>
        </w:rPr>
        <w:t>（3）负责建立管理参保人员缴费记录和社会保险待遇权益记录。</w:t>
      </w:r>
    </w:p>
    <w:p w14:paraId="5FF73096">
      <w:pPr>
        <w:bidi w:val="0"/>
        <w:rPr>
          <w:rFonts w:hint="eastAsia"/>
          <w:lang w:val="en-US" w:eastAsia="zh-CN"/>
        </w:rPr>
      </w:pPr>
      <w:r>
        <w:rPr>
          <w:rFonts w:hint="eastAsia"/>
          <w:lang w:val="en-US" w:eastAsia="zh-CN"/>
        </w:rPr>
        <w:t>（4）负责按规定办理参保对象养老保险、职业年金转移接续手续。</w:t>
      </w:r>
    </w:p>
    <w:p w14:paraId="042AC63E">
      <w:pPr>
        <w:bidi w:val="0"/>
        <w:rPr>
          <w:rFonts w:hint="eastAsia"/>
          <w:lang w:val="en-US" w:eastAsia="zh-CN"/>
        </w:rPr>
      </w:pPr>
      <w:r>
        <w:rPr>
          <w:rFonts w:hint="eastAsia"/>
          <w:lang w:val="en-US" w:eastAsia="zh-CN"/>
        </w:rPr>
        <w:t>（5）负责按规定办理城乡居民养老保险转移接续工作。</w:t>
      </w:r>
    </w:p>
    <w:p w14:paraId="43E94E8E">
      <w:pPr>
        <w:bidi w:val="0"/>
        <w:rPr>
          <w:rFonts w:hint="eastAsia"/>
          <w:lang w:val="en-US" w:eastAsia="zh-CN"/>
        </w:rPr>
      </w:pPr>
      <w:r>
        <w:rPr>
          <w:rFonts w:hint="eastAsia"/>
          <w:lang w:val="en-US" w:eastAsia="zh-CN"/>
        </w:rPr>
        <w:t>（6）负责核算养老、工伤、失业保险、职业年金、城乡居民养老保险各项待遇。</w:t>
      </w:r>
    </w:p>
    <w:p w14:paraId="39A5C33A">
      <w:pPr>
        <w:bidi w:val="0"/>
        <w:rPr>
          <w:rFonts w:hint="eastAsia"/>
          <w:lang w:val="en-US" w:eastAsia="zh-CN"/>
        </w:rPr>
      </w:pPr>
      <w:r>
        <w:rPr>
          <w:rFonts w:hint="eastAsia"/>
          <w:lang w:val="en-US" w:eastAsia="zh-CN"/>
        </w:rPr>
        <w:t>（7）负责养老、工伤、失业保险、职业年金、城乡居民养老保险各项基金的支付与结算。编制社会保险基金预算、决算草案，定期向社会公布各项基金的收入、支出、结余和收益情况；负责统计各项社会保险参保扩面情况并向社会公布。</w:t>
      </w:r>
    </w:p>
    <w:p w14:paraId="2632F5C5">
      <w:pPr>
        <w:bidi w:val="0"/>
        <w:rPr>
          <w:rFonts w:hint="eastAsia"/>
          <w:lang w:val="en-US" w:eastAsia="zh-CN"/>
        </w:rPr>
      </w:pPr>
      <w:r>
        <w:rPr>
          <w:rFonts w:hint="eastAsia"/>
          <w:lang w:val="en-US" w:eastAsia="zh-CN"/>
        </w:rPr>
        <w:t>（8）负责建立管理用人单位和参保对象社会保险档案，并向社会提供查询和统计分析等档案利用服务。</w:t>
      </w:r>
    </w:p>
    <w:p w14:paraId="0C89460A">
      <w:pPr>
        <w:bidi w:val="0"/>
        <w:rPr>
          <w:rFonts w:hint="eastAsia"/>
          <w:lang w:val="en-US" w:eastAsia="zh-CN"/>
        </w:rPr>
      </w:pPr>
      <w:r>
        <w:rPr>
          <w:rFonts w:hint="eastAsia"/>
          <w:lang w:val="en-US" w:eastAsia="zh-CN"/>
        </w:rPr>
        <w:t>（9）负责全县社会保障卡经办服务工作。</w:t>
      </w:r>
    </w:p>
    <w:p w14:paraId="121A057E">
      <w:pPr>
        <w:bidi w:val="0"/>
        <w:rPr>
          <w:rFonts w:hint="eastAsia"/>
          <w:lang w:val="en-US" w:eastAsia="zh-CN"/>
        </w:rPr>
      </w:pPr>
      <w:r>
        <w:rPr>
          <w:rFonts w:hint="eastAsia"/>
          <w:lang w:val="en-US" w:eastAsia="zh-CN"/>
        </w:rPr>
        <w:t>（10）负责对参保人员重复领取、冒领社会保险待遇的追偿工作。</w:t>
      </w:r>
    </w:p>
    <w:p w14:paraId="0F9BC64C">
      <w:pPr>
        <w:bidi w:val="0"/>
        <w:rPr>
          <w:rFonts w:hint="eastAsia"/>
          <w:lang w:val="en-US" w:eastAsia="zh-CN"/>
        </w:rPr>
      </w:pPr>
      <w:r>
        <w:rPr>
          <w:rFonts w:hint="eastAsia"/>
          <w:lang w:val="en-US" w:eastAsia="zh-CN"/>
        </w:rPr>
        <w:t>（11）负责离、退休人员社会化管理服务，做好退休人员享受社会保险待遇资格认证工作。</w:t>
      </w:r>
    </w:p>
    <w:p w14:paraId="12F11034">
      <w:pPr>
        <w:bidi w:val="0"/>
        <w:rPr>
          <w:rFonts w:hint="eastAsia"/>
          <w:lang w:val="en-US" w:eastAsia="zh-CN"/>
        </w:rPr>
      </w:pPr>
      <w:r>
        <w:rPr>
          <w:rFonts w:hint="eastAsia"/>
          <w:lang w:val="en-US" w:eastAsia="zh-CN"/>
        </w:rPr>
        <w:t>（12）负责提供社会保险查询、咨询等相关服务，受理社会保险经办服务的举报、投诉。</w:t>
      </w:r>
    </w:p>
    <w:p w14:paraId="02458C17">
      <w:pPr>
        <w:bidi w:val="0"/>
        <w:rPr>
          <w:rFonts w:hint="eastAsia"/>
          <w:lang w:val="en-US" w:eastAsia="zh-CN"/>
        </w:rPr>
      </w:pPr>
      <w:r>
        <w:rPr>
          <w:rFonts w:hint="eastAsia"/>
          <w:lang w:val="en-US" w:eastAsia="zh-CN"/>
        </w:rPr>
        <w:t>（13）完成上级部门交办的其他事项。</w:t>
      </w:r>
    </w:p>
    <w:p w14:paraId="107171F6">
      <w:pPr>
        <w:pStyle w:val="7"/>
        <w:bidi w:val="0"/>
        <w:rPr>
          <w:rFonts w:hint="eastAsia"/>
          <w:lang w:val="en-US" w:eastAsia="zh-CN"/>
        </w:rPr>
      </w:pPr>
      <w:bookmarkStart w:id="182" w:name="_Toc3468"/>
      <w:bookmarkStart w:id="183" w:name="_Toc19283"/>
      <w:r>
        <w:rPr>
          <w:rFonts w:hint="eastAsia"/>
          <w:lang w:val="en-US" w:eastAsia="zh-CN"/>
        </w:rPr>
        <w:t>3.主要内容及实施情况</w:t>
      </w:r>
      <w:bookmarkEnd w:id="173"/>
      <w:bookmarkEnd w:id="174"/>
      <w:bookmarkEnd w:id="175"/>
      <w:bookmarkEnd w:id="176"/>
      <w:bookmarkEnd w:id="181"/>
      <w:bookmarkEnd w:id="182"/>
      <w:bookmarkEnd w:id="183"/>
    </w:p>
    <w:p w14:paraId="3DA0C9EA">
      <w:pPr>
        <w:bidi w:val="0"/>
        <w:rPr>
          <w:rFonts w:hint="eastAsia"/>
          <w:lang w:val="en-US" w:eastAsia="zh-CN"/>
        </w:rPr>
      </w:pPr>
      <w:bookmarkStart w:id="184" w:name="_Toc4002"/>
      <w:bookmarkStart w:id="185" w:name="_Toc11282"/>
      <w:bookmarkStart w:id="186" w:name="_Toc13915"/>
      <w:bookmarkStart w:id="187" w:name="_Toc1060"/>
      <w:bookmarkStart w:id="188" w:name="_Toc15437"/>
      <w:bookmarkStart w:id="189" w:name="_Toc23034"/>
      <w:bookmarkStart w:id="190" w:name="_Toc27324"/>
      <w:r>
        <w:rPr>
          <w:rFonts w:hint="eastAsia"/>
          <w:lang w:val="en-US" w:eastAsia="zh-CN"/>
        </w:rPr>
        <w:t>项目共下达资金19538.19万元，用于对符合条件的65196名城乡老年居民发放12次基础养老金，发放4352人丧葬费，个人账户支出52518人，转移支出202人，其他支出109人，通过项目实施，保障养老保险参保人员待遇，保障老人生活水平与质量。项目实施全面推进和不断完善覆盖全体城乡居民的基本养老保险制度，建立基础养老金正常调整机制，进一步健全服务网络，不断提高管理水平。该项目将基础养老金按时足额发放到位，增加他们的收入，提升生活水平，实现老有所养，促进莎车县经济发展，维护社会和谐稳定。</w:t>
      </w:r>
      <w:bookmarkEnd w:id="184"/>
      <w:bookmarkEnd w:id="185"/>
    </w:p>
    <w:p w14:paraId="60CBB707">
      <w:pPr>
        <w:bidi w:val="0"/>
        <w:rPr>
          <w:rFonts w:hint="default"/>
          <w:lang w:val="en-US" w:eastAsia="zh-CN"/>
        </w:rPr>
      </w:pPr>
      <w:r>
        <w:rPr>
          <w:rFonts w:hint="eastAsia"/>
          <w:lang w:val="en-US" w:eastAsia="zh-CN"/>
        </w:rPr>
        <w:t>截至2025年12月31日，项目支出为19538.19万元，完成对符合条件的65196名城乡老年居民发放12次基础养老金，发放丧葬费4352人，个人账户支出52518人，转移支出202人，其他支出109人，有效保障养老保险参保人员待遇，保障老人生活水平与质量。</w:t>
      </w:r>
    </w:p>
    <w:p w14:paraId="47B99650">
      <w:pPr>
        <w:pStyle w:val="7"/>
        <w:bidi w:val="0"/>
        <w:rPr>
          <w:rFonts w:hint="eastAsia"/>
          <w:lang w:val="en-US" w:eastAsia="zh-CN"/>
        </w:rPr>
      </w:pPr>
      <w:bookmarkStart w:id="191" w:name="_Toc12942"/>
      <w:bookmarkStart w:id="192" w:name="_Toc4239"/>
      <w:r>
        <w:rPr>
          <w:rFonts w:hint="eastAsia"/>
          <w:lang w:val="en-US" w:eastAsia="zh-CN"/>
        </w:rPr>
        <w:t>4.</w:t>
      </w:r>
      <w:bookmarkEnd w:id="186"/>
      <w:r>
        <w:rPr>
          <w:rFonts w:hint="eastAsia"/>
          <w:lang w:val="en-US" w:eastAsia="zh-CN"/>
        </w:rPr>
        <w:t>资金投入和使用情况</w:t>
      </w:r>
      <w:bookmarkEnd w:id="191"/>
      <w:bookmarkEnd w:id="192"/>
    </w:p>
    <w:p w14:paraId="2A58FDB8">
      <w:pPr>
        <w:bidi w:val="0"/>
        <w:rPr>
          <w:rFonts w:hint="eastAsia"/>
          <w:lang w:val="en-US" w:eastAsia="zh-CN"/>
        </w:rPr>
      </w:pPr>
      <w:r>
        <w:rPr>
          <w:rFonts w:hint="eastAsia"/>
          <w:lang w:val="en-US" w:eastAsia="zh-CN"/>
        </w:rPr>
        <w:t>该项目预算资金总额为19538.19万元，其中：社会保险基金19538.19万元。根据《关于印发自治区建立统一的城乡居民基本养老保险制度实施办法的通知》（新政发〔2014〕76号）、《关于建立自治区城乡居民基本养老保险待遇确定和基础养老金正常调整机制的实施意见》（新人社发〔2018〕43号）文件，实际到位资金19538.19万元，其中：社会保险基金19538.19万元，资金到位率为100%。</w:t>
      </w:r>
    </w:p>
    <w:p w14:paraId="0782D4FD">
      <w:pPr>
        <w:bidi w:val="0"/>
        <w:rPr>
          <w:rFonts w:hint="eastAsia"/>
          <w:lang w:val="en-US" w:eastAsia="zh-CN"/>
        </w:rPr>
      </w:pPr>
      <w:r>
        <w:rPr>
          <w:rFonts w:hint="eastAsia"/>
          <w:lang w:val="en-US" w:eastAsia="zh-CN"/>
        </w:rPr>
        <w:t>截至2025年12月31日，项目实际支出19538.19万元，资金预算执行率100%。资金主要用于对符合条件的城乡老年居民发放12次基础养老金，保障退休待遇人员65196人；发放丧葬费4352人，个人账户支出52518人，转移支出202人，其他支出109人，有效保障养老保险参保人员待遇，保障老人生活水平与质量，实现老有所养，促进莎车县经济发展。</w:t>
      </w:r>
    </w:p>
    <w:tbl>
      <w:tblPr>
        <w:tblStyle w:val="15"/>
        <w:tblW w:w="81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6"/>
        <w:gridCol w:w="2295"/>
        <w:gridCol w:w="2241"/>
        <w:gridCol w:w="2291"/>
      </w:tblGrid>
      <w:tr w14:paraId="24DAC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163" w:type="dxa"/>
            <w:gridSpan w:val="4"/>
            <w:tcBorders>
              <w:top w:val="nil"/>
              <w:left w:val="nil"/>
              <w:bottom w:val="nil"/>
              <w:right w:val="nil"/>
            </w:tcBorders>
            <w:shd w:val="clear" w:color="auto" w:fill="auto"/>
            <w:noWrap/>
            <w:vAlign w:val="bottom"/>
          </w:tcPr>
          <w:p w14:paraId="04B50AF6">
            <w:pPr>
              <w:keepNext w:val="0"/>
              <w:keepLines w:val="0"/>
              <w:widowControl/>
              <w:suppressLineNumbers w:val="0"/>
              <w:spacing w:before="0" w:beforeAutospacing="0" w:after="0" w:afterAutospacing="0"/>
              <w:ind w:left="0" w:right="0" w:firstLineChars="200"/>
              <w:jc w:val="center"/>
              <w:textAlignment w:val="bottom"/>
              <w:rPr>
                <w:rFonts w:hint="default" w:ascii="方正仿宋_GBK" w:hAnsi="方正仿宋_GBK" w:eastAsia="方正仿宋_GBK" w:cs="方正仿宋_GBK"/>
                <w:b/>
                <w:bCs/>
                <w:i w:val="0"/>
                <w:iCs w:val="0"/>
                <w:color w:val="000000"/>
                <w:sz w:val="24"/>
                <w:szCs w:val="24"/>
                <w:u w:val="none"/>
              </w:rPr>
            </w:pPr>
            <w:r>
              <w:rPr>
                <w:rFonts w:hint="eastAsia" w:ascii="方正楷体_GBK" w:hAnsi="方正楷体_GBK" w:eastAsia="方正楷体_GBK" w:cs="方正楷体_GBK"/>
                <w:b/>
                <w:bCs/>
                <w:i w:val="0"/>
                <w:iCs w:val="0"/>
                <w:color w:val="000000"/>
                <w:kern w:val="0"/>
                <w:sz w:val="24"/>
                <w:szCs w:val="24"/>
                <w:u w:val="none"/>
                <w:lang w:val="en-US" w:eastAsia="zh-CN" w:bidi="ar"/>
              </w:rPr>
              <w:t>2025年城乡居民养老保险支出项目资金支出情况表</w:t>
            </w:r>
          </w:p>
        </w:tc>
      </w:tr>
      <w:tr w14:paraId="21DB3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1336" w:type="dxa"/>
            <w:tcBorders>
              <w:top w:val="single" w:color="000000" w:sz="8" w:space="0"/>
              <w:left w:val="single" w:color="000000" w:sz="8" w:space="0"/>
              <w:bottom w:val="single" w:color="000000" w:sz="8" w:space="0"/>
              <w:right w:val="single" w:color="000000" w:sz="8" w:space="0"/>
            </w:tcBorders>
            <w:shd w:val="clear" w:color="auto" w:fill="auto"/>
            <w:noWrap/>
            <w:vAlign w:val="bottom"/>
          </w:tcPr>
          <w:p w14:paraId="7B646E40">
            <w:pPr>
              <w:keepNext w:val="0"/>
              <w:keepLines w:val="0"/>
              <w:widowControl/>
              <w:suppressLineNumbers w:val="0"/>
              <w:spacing w:before="0" w:beforeAutospacing="0" w:after="0" w:afterAutospacing="0"/>
              <w:ind w:left="0" w:leftChars="0" w:right="0" w:firstLine="0" w:firstLineChars="0"/>
              <w:jc w:val="center"/>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295" w:type="dxa"/>
            <w:tcBorders>
              <w:top w:val="single" w:color="000000" w:sz="8" w:space="0"/>
              <w:left w:val="nil"/>
              <w:bottom w:val="single" w:color="000000" w:sz="8" w:space="0"/>
              <w:right w:val="single" w:color="000000" w:sz="8" w:space="0"/>
            </w:tcBorders>
            <w:shd w:val="clear" w:color="auto" w:fill="auto"/>
            <w:vAlign w:val="bottom"/>
          </w:tcPr>
          <w:p w14:paraId="08ACCB08">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支出时间（年/月）</w:t>
            </w:r>
          </w:p>
        </w:tc>
        <w:tc>
          <w:tcPr>
            <w:tcW w:w="2241" w:type="dxa"/>
            <w:tcBorders>
              <w:top w:val="single" w:color="000000" w:sz="8" w:space="0"/>
              <w:left w:val="nil"/>
              <w:bottom w:val="single" w:color="000000" w:sz="8" w:space="0"/>
              <w:right w:val="single" w:color="000000" w:sz="8" w:space="0"/>
            </w:tcBorders>
            <w:shd w:val="clear" w:color="auto" w:fill="auto"/>
            <w:noWrap/>
            <w:vAlign w:val="bottom"/>
          </w:tcPr>
          <w:p w14:paraId="458E0D1A">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摘要</w:t>
            </w:r>
          </w:p>
        </w:tc>
        <w:tc>
          <w:tcPr>
            <w:tcW w:w="2291" w:type="dxa"/>
            <w:tcBorders>
              <w:top w:val="single" w:color="000000" w:sz="8" w:space="0"/>
              <w:left w:val="nil"/>
              <w:bottom w:val="single" w:color="000000" w:sz="8" w:space="0"/>
              <w:right w:val="single" w:color="000000" w:sz="8" w:space="0"/>
            </w:tcBorders>
            <w:shd w:val="clear" w:color="auto" w:fill="auto"/>
            <w:vAlign w:val="bottom"/>
          </w:tcPr>
          <w:p w14:paraId="51392977">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金额（万元）</w:t>
            </w:r>
          </w:p>
        </w:tc>
      </w:tr>
      <w:tr w14:paraId="7461B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1B7D927B">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295" w:type="dxa"/>
            <w:tcBorders>
              <w:top w:val="nil"/>
              <w:left w:val="nil"/>
              <w:bottom w:val="single" w:color="000000" w:sz="8" w:space="0"/>
              <w:right w:val="single" w:color="000000" w:sz="8" w:space="0"/>
            </w:tcBorders>
            <w:shd w:val="clear" w:color="auto" w:fill="auto"/>
            <w:noWrap/>
            <w:vAlign w:val="bottom"/>
          </w:tcPr>
          <w:p w14:paraId="5CBEE4E1">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2025年1月</w:t>
            </w:r>
          </w:p>
        </w:tc>
        <w:tc>
          <w:tcPr>
            <w:tcW w:w="2241" w:type="dxa"/>
            <w:tcBorders>
              <w:top w:val="nil"/>
              <w:left w:val="nil"/>
              <w:bottom w:val="single" w:color="000000" w:sz="8" w:space="0"/>
              <w:right w:val="single" w:color="000000" w:sz="8" w:space="0"/>
            </w:tcBorders>
            <w:shd w:val="clear" w:color="auto" w:fill="auto"/>
            <w:vAlign w:val="bottom"/>
          </w:tcPr>
          <w:p w14:paraId="0639F0BC">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348334A7">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1753.19</w:t>
            </w:r>
          </w:p>
        </w:tc>
      </w:tr>
      <w:tr w14:paraId="1B213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70CDD57F">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2295" w:type="dxa"/>
            <w:tcBorders>
              <w:top w:val="nil"/>
              <w:left w:val="nil"/>
              <w:bottom w:val="single" w:color="000000" w:sz="8" w:space="0"/>
              <w:right w:val="single" w:color="000000" w:sz="8" w:space="0"/>
            </w:tcBorders>
            <w:shd w:val="clear" w:color="auto" w:fill="auto"/>
            <w:noWrap/>
            <w:vAlign w:val="bottom"/>
          </w:tcPr>
          <w:p w14:paraId="12736C78">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2025年2月</w:t>
            </w:r>
          </w:p>
        </w:tc>
        <w:tc>
          <w:tcPr>
            <w:tcW w:w="2241" w:type="dxa"/>
            <w:tcBorders>
              <w:top w:val="nil"/>
              <w:left w:val="nil"/>
              <w:bottom w:val="single" w:color="000000" w:sz="8" w:space="0"/>
              <w:right w:val="single" w:color="000000" w:sz="8" w:space="0"/>
            </w:tcBorders>
            <w:shd w:val="clear" w:color="auto" w:fill="auto"/>
            <w:vAlign w:val="bottom"/>
          </w:tcPr>
          <w:p w14:paraId="34212C0E">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02C2EE6C">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1551.77</w:t>
            </w:r>
          </w:p>
        </w:tc>
      </w:tr>
      <w:tr w14:paraId="4331D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4B085A28">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2295" w:type="dxa"/>
            <w:tcBorders>
              <w:top w:val="nil"/>
              <w:left w:val="nil"/>
              <w:bottom w:val="single" w:color="000000" w:sz="8" w:space="0"/>
              <w:right w:val="single" w:color="000000" w:sz="8" w:space="0"/>
            </w:tcBorders>
            <w:shd w:val="clear" w:color="auto" w:fill="auto"/>
            <w:noWrap/>
            <w:vAlign w:val="bottom"/>
          </w:tcPr>
          <w:p w14:paraId="1439D03F">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2025年3月</w:t>
            </w:r>
          </w:p>
        </w:tc>
        <w:tc>
          <w:tcPr>
            <w:tcW w:w="2241" w:type="dxa"/>
            <w:tcBorders>
              <w:top w:val="nil"/>
              <w:left w:val="nil"/>
              <w:bottom w:val="single" w:color="000000" w:sz="8" w:space="0"/>
              <w:right w:val="single" w:color="000000" w:sz="8" w:space="0"/>
            </w:tcBorders>
            <w:shd w:val="clear" w:color="auto" w:fill="auto"/>
            <w:vAlign w:val="bottom"/>
          </w:tcPr>
          <w:p w14:paraId="045BBF91">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2DED6A5B">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1437.7</w:t>
            </w:r>
          </w:p>
        </w:tc>
      </w:tr>
      <w:tr w14:paraId="442E2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702E2DD7">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2295" w:type="dxa"/>
            <w:tcBorders>
              <w:top w:val="nil"/>
              <w:left w:val="nil"/>
              <w:bottom w:val="single" w:color="000000" w:sz="8" w:space="0"/>
              <w:right w:val="single" w:color="000000" w:sz="8" w:space="0"/>
            </w:tcBorders>
            <w:shd w:val="clear" w:color="auto" w:fill="auto"/>
            <w:noWrap/>
            <w:vAlign w:val="bottom"/>
          </w:tcPr>
          <w:p w14:paraId="6055CA8A">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2025年4月</w:t>
            </w:r>
          </w:p>
        </w:tc>
        <w:tc>
          <w:tcPr>
            <w:tcW w:w="2241" w:type="dxa"/>
            <w:tcBorders>
              <w:top w:val="nil"/>
              <w:left w:val="nil"/>
              <w:bottom w:val="single" w:color="000000" w:sz="8" w:space="0"/>
              <w:right w:val="single" w:color="000000" w:sz="8" w:space="0"/>
            </w:tcBorders>
            <w:shd w:val="clear" w:color="auto" w:fill="auto"/>
            <w:vAlign w:val="bottom"/>
          </w:tcPr>
          <w:p w14:paraId="48E29F66">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47E6F516">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1556.51</w:t>
            </w:r>
          </w:p>
        </w:tc>
      </w:tr>
      <w:tr w14:paraId="45FE3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45130CB4">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2295" w:type="dxa"/>
            <w:tcBorders>
              <w:top w:val="nil"/>
              <w:left w:val="nil"/>
              <w:bottom w:val="single" w:color="000000" w:sz="8" w:space="0"/>
              <w:right w:val="single" w:color="000000" w:sz="8" w:space="0"/>
            </w:tcBorders>
            <w:shd w:val="clear" w:color="auto" w:fill="auto"/>
            <w:noWrap/>
            <w:vAlign w:val="bottom"/>
          </w:tcPr>
          <w:p w14:paraId="437C0D4C">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2025年5月</w:t>
            </w:r>
          </w:p>
        </w:tc>
        <w:tc>
          <w:tcPr>
            <w:tcW w:w="2241" w:type="dxa"/>
            <w:tcBorders>
              <w:top w:val="nil"/>
              <w:left w:val="nil"/>
              <w:bottom w:val="single" w:color="000000" w:sz="8" w:space="0"/>
              <w:right w:val="single" w:color="000000" w:sz="8" w:space="0"/>
            </w:tcBorders>
            <w:shd w:val="clear" w:color="auto" w:fill="auto"/>
            <w:vAlign w:val="bottom"/>
          </w:tcPr>
          <w:p w14:paraId="2F4D8EFE">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1F8D49BB">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1450.19</w:t>
            </w:r>
          </w:p>
        </w:tc>
      </w:tr>
      <w:tr w14:paraId="61E3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1453211C">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c>
          <w:tcPr>
            <w:tcW w:w="2295" w:type="dxa"/>
            <w:tcBorders>
              <w:top w:val="nil"/>
              <w:left w:val="nil"/>
              <w:bottom w:val="single" w:color="000000" w:sz="8" w:space="0"/>
              <w:right w:val="single" w:color="000000" w:sz="8" w:space="0"/>
            </w:tcBorders>
            <w:shd w:val="clear" w:color="auto" w:fill="auto"/>
            <w:noWrap/>
            <w:vAlign w:val="bottom"/>
          </w:tcPr>
          <w:p w14:paraId="035F3BB7">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2025年6月</w:t>
            </w:r>
          </w:p>
        </w:tc>
        <w:tc>
          <w:tcPr>
            <w:tcW w:w="2241" w:type="dxa"/>
            <w:tcBorders>
              <w:top w:val="nil"/>
              <w:left w:val="nil"/>
              <w:bottom w:val="single" w:color="000000" w:sz="8" w:space="0"/>
              <w:right w:val="single" w:color="000000" w:sz="8" w:space="0"/>
            </w:tcBorders>
            <w:shd w:val="clear" w:color="auto" w:fill="auto"/>
            <w:vAlign w:val="bottom"/>
          </w:tcPr>
          <w:p w14:paraId="77C3F53C">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09E4C406">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1486.52</w:t>
            </w:r>
          </w:p>
        </w:tc>
      </w:tr>
      <w:tr w14:paraId="527A9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5AF08D04">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w:t>
            </w:r>
          </w:p>
        </w:tc>
        <w:tc>
          <w:tcPr>
            <w:tcW w:w="2295" w:type="dxa"/>
            <w:tcBorders>
              <w:top w:val="nil"/>
              <w:left w:val="nil"/>
              <w:bottom w:val="single" w:color="000000" w:sz="8" w:space="0"/>
              <w:right w:val="single" w:color="000000" w:sz="8" w:space="0"/>
            </w:tcBorders>
            <w:shd w:val="clear" w:color="auto" w:fill="auto"/>
            <w:noWrap/>
            <w:vAlign w:val="bottom"/>
          </w:tcPr>
          <w:p w14:paraId="13D23616">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2025年7月</w:t>
            </w:r>
          </w:p>
        </w:tc>
        <w:tc>
          <w:tcPr>
            <w:tcW w:w="2241" w:type="dxa"/>
            <w:tcBorders>
              <w:top w:val="nil"/>
              <w:left w:val="nil"/>
              <w:bottom w:val="single" w:color="000000" w:sz="8" w:space="0"/>
              <w:right w:val="single" w:color="000000" w:sz="8" w:space="0"/>
            </w:tcBorders>
            <w:shd w:val="clear" w:color="auto" w:fill="auto"/>
            <w:vAlign w:val="bottom"/>
          </w:tcPr>
          <w:p w14:paraId="15C6F38D">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3DF4CC49">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1482.3</w:t>
            </w:r>
          </w:p>
        </w:tc>
      </w:tr>
      <w:tr w14:paraId="2C73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3CACFA7C">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2295" w:type="dxa"/>
            <w:tcBorders>
              <w:top w:val="nil"/>
              <w:left w:val="nil"/>
              <w:bottom w:val="single" w:color="000000" w:sz="8" w:space="0"/>
              <w:right w:val="single" w:color="000000" w:sz="8" w:space="0"/>
            </w:tcBorders>
            <w:shd w:val="clear" w:color="auto" w:fill="auto"/>
            <w:noWrap/>
            <w:vAlign w:val="bottom"/>
          </w:tcPr>
          <w:p w14:paraId="2EE7A639">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2025年8月</w:t>
            </w:r>
          </w:p>
        </w:tc>
        <w:tc>
          <w:tcPr>
            <w:tcW w:w="2241" w:type="dxa"/>
            <w:tcBorders>
              <w:top w:val="nil"/>
              <w:left w:val="nil"/>
              <w:bottom w:val="single" w:color="000000" w:sz="8" w:space="0"/>
              <w:right w:val="single" w:color="000000" w:sz="8" w:space="0"/>
            </w:tcBorders>
            <w:shd w:val="clear" w:color="auto" w:fill="auto"/>
            <w:vAlign w:val="bottom"/>
          </w:tcPr>
          <w:p w14:paraId="48B16D3A">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3056CCF1">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1479.3</w:t>
            </w:r>
          </w:p>
        </w:tc>
      </w:tr>
      <w:tr w14:paraId="0E4F5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3CBE5EEC">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w:t>
            </w:r>
          </w:p>
        </w:tc>
        <w:tc>
          <w:tcPr>
            <w:tcW w:w="2295" w:type="dxa"/>
            <w:tcBorders>
              <w:top w:val="nil"/>
              <w:left w:val="nil"/>
              <w:bottom w:val="single" w:color="000000" w:sz="8" w:space="0"/>
              <w:right w:val="single" w:color="000000" w:sz="8" w:space="0"/>
            </w:tcBorders>
            <w:shd w:val="clear" w:color="auto" w:fill="auto"/>
            <w:noWrap/>
            <w:vAlign w:val="bottom"/>
          </w:tcPr>
          <w:p w14:paraId="63140E1C">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2025年9月</w:t>
            </w:r>
          </w:p>
        </w:tc>
        <w:tc>
          <w:tcPr>
            <w:tcW w:w="2241" w:type="dxa"/>
            <w:tcBorders>
              <w:top w:val="nil"/>
              <w:left w:val="nil"/>
              <w:bottom w:val="single" w:color="000000" w:sz="8" w:space="0"/>
              <w:right w:val="single" w:color="000000" w:sz="8" w:space="0"/>
            </w:tcBorders>
            <w:shd w:val="clear" w:color="auto" w:fill="auto"/>
            <w:vAlign w:val="bottom"/>
          </w:tcPr>
          <w:p w14:paraId="307108C4">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56548F18">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1996.76</w:t>
            </w:r>
          </w:p>
        </w:tc>
      </w:tr>
      <w:tr w14:paraId="2D079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1597EEBB">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2295" w:type="dxa"/>
            <w:tcBorders>
              <w:top w:val="nil"/>
              <w:left w:val="nil"/>
              <w:bottom w:val="single" w:color="000000" w:sz="8" w:space="0"/>
              <w:right w:val="single" w:color="000000" w:sz="8" w:space="0"/>
            </w:tcBorders>
            <w:shd w:val="clear" w:color="auto" w:fill="auto"/>
            <w:noWrap/>
            <w:vAlign w:val="bottom"/>
          </w:tcPr>
          <w:p w14:paraId="286E750C">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2025年10月</w:t>
            </w:r>
          </w:p>
        </w:tc>
        <w:tc>
          <w:tcPr>
            <w:tcW w:w="2241" w:type="dxa"/>
            <w:tcBorders>
              <w:top w:val="nil"/>
              <w:left w:val="nil"/>
              <w:bottom w:val="single" w:color="000000" w:sz="8" w:space="0"/>
              <w:right w:val="single" w:color="000000" w:sz="8" w:space="0"/>
            </w:tcBorders>
            <w:shd w:val="clear" w:color="auto" w:fill="auto"/>
            <w:vAlign w:val="bottom"/>
          </w:tcPr>
          <w:p w14:paraId="29C7FD04">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502086F7">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1744.63</w:t>
            </w:r>
          </w:p>
        </w:tc>
      </w:tr>
      <w:tr w14:paraId="5A8EC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40D727B1">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w:t>
            </w:r>
          </w:p>
        </w:tc>
        <w:tc>
          <w:tcPr>
            <w:tcW w:w="2295" w:type="dxa"/>
            <w:tcBorders>
              <w:top w:val="nil"/>
              <w:left w:val="nil"/>
              <w:bottom w:val="single" w:color="000000" w:sz="8" w:space="0"/>
              <w:right w:val="single" w:color="000000" w:sz="8" w:space="0"/>
            </w:tcBorders>
            <w:shd w:val="clear" w:color="auto" w:fill="auto"/>
            <w:noWrap/>
            <w:vAlign w:val="bottom"/>
          </w:tcPr>
          <w:p w14:paraId="0C334BDA">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2025年11月</w:t>
            </w:r>
          </w:p>
        </w:tc>
        <w:tc>
          <w:tcPr>
            <w:tcW w:w="2241" w:type="dxa"/>
            <w:tcBorders>
              <w:top w:val="nil"/>
              <w:left w:val="nil"/>
              <w:bottom w:val="single" w:color="000000" w:sz="8" w:space="0"/>
              <w:right w:val="single" w:color="000000" w:sz="8" w:space="0"/>
            </w:tcBorders>
            <w:shd w:val="clear" w:color="auto" w:fill="auto"/>
            <w:vAlign w:val="bottom"/>
          </w:tcPr>
          <w:p w14:paraId="4B67246F">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79EEA6B1">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1752.35</w:t>
            </w:r>
          </w:p>
        </w:tc>
      </w:tr>
      <w:tr w14:paraId="32044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36" w:type="dxa"/>
            <w:tcBorders>
              <w:top w:val="nil"/>
              <w:left w:val="single" w:color="000000" w:sz="8" w:space="0"/>
              <w:bottom w:val="single" w:color="000000" w:sz="8" w:space="0"/>
              <w:right w:val="single" w:color="000000" w:sz="8" w:space="0"/>
            </w:tcBorders>
            <w:shd w:val="clear" w:color="auto" w:fill="auto"/>
            <w:noWrap/>
            <w:vAlign w:val="bottom"/>
          </w:tcPr>
          <w:p w14:paraId="1B24A450">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12</w:t>
            </w:r>
          </w:p>
        </w:tc>
        <w:tc>
          <w:tcPr>
            <w:tcW w:w="2295" w:type="dxa"/>
            <w:tcBorders>
              <w:top w:val="nil"/>
              <w:left w:val="nil"/>
              <w:bottom w:val="single" w:color="000000" w:sz="8" w:space="0"/>
              <w:right w:val="single" w:color="000000" w:sz="8" w:space="0"/>
            </w:tcBorders>
            <w:shd w:val="clear" w:color="auto" w:fill="auto"/>
            <w:noWrap/>
            <w:vAlign w:val="bottom"/>
          </w:tcPr>
          <w:p w14:paraId="5282298E">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2025年12月</w:t>
            </w:r>
          </w:p>
        </w:tc>
        <w:tc>
          <w:tcPr>
            <w:tcW w:w="2241" w:type="dxa"/>
            <w:tcBorders>
              <w:top w:val="nil"/>
              <w:left w:val="nil"/>
              <w:bottom w:val="single" w:color="000000" w:sz="8" w:space="0"/>
              <w:right w:val="single" w:color="000000" w:sz="8" w:space="0"/>
            </w:tcBorders>
            <w:shd w:val="clear" w:color="auto" w:fill="auto"/>
            <w:vAlign w:val="bottom"/>
          </w:tcPr>
          <w:p w14:paraId="254F7614">
            <w:pPr>
              <w:keepNext w:val="0"/>
              <w:keepLines w:val="0"/>
              <w:widowControl/>
              <w:suppressLineNumbers w:val="0"/>
              <w:spacing w:before="0" w:beforeAutospacing="0" w:after="0" w:afterAutospacing="0"/>
              <w:ind w:left="0" w:right="0"/>
              <w:jc w:val="lef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待遇支出</w:t>
            </w:r>
          </w:p>
        </w:tc>
        <w:tc>
          <w:tcPr>
            <w:tcW w:w="2291" w:type="dxa"/>
            <w:tcBorders>
              <w:top w:val="nil"/>
              <w:left w:val="nil"/>
              <w:bottom w:val="single" w:color="000000" w:sz="8" w:space="0"/>
              <w:right w:val="single" w:color="000000" w:sz="8" w:space="0"/>
            </w:tcBorders>
            <w:shd w:val="clear" w:color="auto" w:fill="auto"/>
            <w:noWrap/>
            <w:vAlign w:val="bottom"/>
          </w:tcPr>
          <w:p w14:paraId="48C883A6">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1846.97</w:t>
            </w:r>
          </w:p>
        </w:tc>
      </w:tr>
      <w:tr w14:paraId="4C98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2" w:type="dxa"/>
            <w:gridSpan w:val="3"/>
            <w:tcBorders>
              <w:top w:val="nil"/>
              <w:left w:val="single" w:color="000000" w:sz="8" w:space="0"/>
              <w:bottom w:val="single" w:color="000000" w:sz="8" w:space="0"/>
              <w:right w:val="single" w:color="000000" w:sz="8" w:space="0"/>
            </w:tcBorders>
            <w:shd w:val="clear" w:color="auto" w:fill="auto"/>
            <w:noWrap/>
            <w:vAlign w:val="bottom"/>
          </w:tcPr>
          <w:p w14:paraId="0C56F4A4">
            <w:pPr>
              <w:keepNext w:val="0"/>
              <w:keepLines w:val="0"/>
              <w:widowControl/>
              <w:suppressLineNumbers w:val="0"/>
              <w:spacing w:before="0" w:beforeAutospacing="0" w:after="0" w:afterAutospacing="0"/>
              <w:ind w:left="0" w:right="0"/>
              <w:jc w:val="center"/>
              <w:textAlignment w:val="bottom"/>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合计（万元）</w:t>
            </w:r>
          </w:p>
        </w:tc>
        <w:tc>
          <w:tcPr>
            <w:tcW w:w="2291" w:type="dxa"/>
            <w:tcBorders>
              <w:top w:val="nil"/>
              <w:left w:val="nil"/>
              <w:bottom w:val="single" w:color="000000" w:sz="8" w:space="0"/>
              <w:right w:val="single" w:color="000000" w:sz="8" w:space="0"/>
            </w:tcBorders>
            <w:shd w:val="clear" w:color="auto" w:fill="auto"/>
            <w:noWrap/>
            <w:vAlign w:val="bottom"/>
          </w:tcPr>
          <w:p w14:paraId="3DFC93E9">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19538.19</w:t>
            </w:r>
          </w:p>
        </w:tc>
      </w:tr>
    </w:tbl>
    <w:p w14:paraId="51B526E8">
      <w:pPr>
        <w:pStyle w:val="2"/>
        <w:rPr>
          <w:rFonts w:hint="eastAsia"/>
          <w:lang w:val="en-US" w:eastAsia="zh-CN"/>
        </w:rPr>
      </w:pPr>
    </w:p>
    <w:p w14:paraId="2DAFC51E">
      <w:pPr>
        <w:pStyle w:val="7"/>
        <w:bidi w:val="0"/>
        <w:rPr>
          <w:rFonts w:hint="eastAsia"/>
          <w:lang w:val="en-US" w:eastAsia="zh-CN"/>
        </w:rPr>
      </w:pPr>
      <w:bookmarkStart w:id="193" w:name="_Toc19994"/>
      <w:bookmarkStart w:id="194" w:name="_Toc26313"/>
      <w:bookmarkStart w:id="195" w:name="_Toc28206"/>
      <w:bookmarkStart w:id="196" w:name="_Toc18292"/>
      <w:bookmarkStart w:id="197" w:name="_Toc14091"/>
      <w:bookmarkStart w:id="198" w:name="_Toc6249"/>
      <w:bookmarkStart w:id="199" w:name="_Toc12480"/>
      <w:r>
        <w:rPr>
          <w:rFonts w:hint="eastAsia"/>
          <w:lang w:val="en-US" w:eastAsia="zh-CN"/>
        </w:rPr>
        <w:t>5.项目组织及管理情况</w:t>
      </w:r>
    </w:p>
    <w:p w14:paraId="737C9DFB">
      <w:pPr>
        <w:bidi w:val="0"/>
        <w:rPr>
          <w:rFonts w:hint="default"/>
          <w:lang w:val="en-US" w:eastAsia="zh-CN"/>
        </w:rPr>
      </w:pPr>
      <w:r>
        <w:rPr>
          <w:rFonts w:hint="eastAsia"/>
          <w:lang w:val="en-US" w:eastAsia="zh-CN"/>
        </w:rPr>
        <w:t>（</w:t>
      </w:r>
      <w:r>
        <w:rPr>
          <w:rFonts w:hint="default"/>
          <w:lang w:val="en-US" w:eastAsia="zh-CN"/>
        </w:rPr>
        <w:t>1</w:t>
      </w:r>
      <w:r>
        <w:rPr>
          <w:rFonts w:hint="eastAsia"/>
          <w:lang w:val="en-US" w:eastAsia="zh-CN"/>
        </w:rPr>
        <w:t>）</w:t>
      </w:r>
      <w:r>
        <w:rPr>
          <w:rFonts w:hint="default"/>
          <w:lang w:val="en-US" w:eastAsia="zh-CN"/>
        </w:rPr>
        <w:t>项目组织情况</w:t>
      </w:r>
    </w:p>
    <w:p w14:paraId="196616AA">
      <w:pPr>
        <w:bidi w:val="0"/>
        <w:rPr>
          <w:rFonts w:hint="eastAsia"/>
          <w:lang w:val="en-US" w:eastAsia="zh-CN"/>
        </w:rPr>
      </w:pPr>
      <w:r>
        <w:rPr>
          <w:rFonts w:hint="eastAsia"/>
          <w:lang w:val="en-US" w:eastAsia="zh-CN"/>
        </w:rPr>
        <w:t>莎车县人力资源和社会保障局是预算主管部门，负责所属单位财政支出部门预算编报审核、执行监管、调整审核、决算管理，负责对预算单位内控管理的监督，负责财政支出资金绩效管理。</w:t>
      </w:r>
    </w:p>
    <w:p w14:paraId="5DE323DC">
      <w:pPr>
        <w:bidi w:val="0"/>
        <w:rPr>
          <w:rFonts w:hint="eastAsia"/>
          <w:lang w:val="en-US" w:eastAsia="zh-CN"/>
        </w:rPr>
      </w:pPr>
      <w:r>
        <w:rPr>
          <w:rFonts w:hint="eastAsia"/>
          <w:lang w:val="en-US" w:eastAsia="zh-CN"/>
        </w:rPr>
        <w:t>莎车县财政局是政府财政资金主管部门，负责建立政府预算项目库，负责财政部门预算、财政专项资金的预算管理、执行监督、决算审批，财政国库资金拨付，对财政支出绩效评价全面监管。</w:t>
      </w:r>
    </w:p>
    <w:p w14:paraId="6F685791">
      <w:pPr>
        <w:bidi w:val="0"/>
        <w:rPr>
          <w:rFonts w:hint="eastAsia"/>
          <w:lang w:val="en-US" w:eastAsia="zh-CN"/>
        </w:rPr>
      </w:pPr>
      <w:r>
        <w:rPr>
          <w:rFonts w:hint="eastAsia"/>
          <w:lang w:val="en-US" w:eastAsia="zh-CN"/>
        </w:rPr>
        <w:t>莎车县社会保险中心作为2025年城乡居民养老保险支出项目预算单位，负责财政支出项目立项报批，项目预算经费申报、预算执行、预算管理；项目组织实施、管理、公示等全过程工作；负责对年度部门预算执行情况的绩效考核、自评。</w:t>
      </w:r>
    </w:p>
    <w:p w14:paraId="0FABEACA">
      <w:pPr>
        <w:bidi w:val="0"/>
        <w:rPr>
          <w:rFonts w:hint="eastAsia"/>
          <w:lang w:val="en-US" w:eastAsia="zh-CN"/>
        </w:rPr>
      </w:pPr>
      <w:r>
        <w:rPr>
          <w:rFonts w:hint="eastAsia"/>
          <w:lang w:val="en-US" w:eastAsia="zh-CN"/>
        </w:rPr>
        <w:t>莎车县社会保险中心内设的各部门是项目具体实施部门，负责执行2025年城乡居民养老保险支出项目资金年度预算。内设财务科、监督小组负责项目管理监督，专账核算项目经费收支，编制部门预算和决算，真实反映项目执行会计信息，组织项目执行情况绩效评价工作，并负责督促项目实施部门落实绩效评价结果。</w:t>
      </w:r>
    </w:p>
    <w:p w14:paraId="42F1D881">
      <w:pPr>
        <w:bidi w:val="0"/>
        <w:rPr>
          <w:rFonts w:hint="default"/>
          <w:lang w:val="en-US" w:eastAsia="zh-CN"/>
        </w:rPr>
      </w:pPr>
      <w:r>
        <w:rPr>
          <w:rFonts w:hint="eastAsia"/>
          <w:lang w:val="en-US" w:eastAsia="zh-CN"/>
        </w:rPr>
        <w:t>（</w:t>
      </w:r>
      <w:r>
        <w:rPr>
          <w:rFonts w:hint="default"/>
          <w:lang w:val="en-US" w:eastAsia="zh-CN"/>
        </w:rPr>
        <w:t>2</w:t>
      </w:r>
      <w:r>
        <w:rPr>
          <w:rFonts w:hint="eastAsia"/>
          <w:lang w:val="en-US" w:eastAsia="zh-CN"/>
        </w:rPr>
        <w:t>）</w:t>
      </w:r>
      <w:r>
        <w:rPr>
          <w:rFonts w:hint="default"/>
          <w:lang w:val="en-US" w:eastAsia="zh-CN"/>
        </w:rPr>
        <w:t>项目管理情况</w:t>
      </w:r>
    </w:p>
    <w:p w14:paraId="5CBB0F6C">
      <w:pPr>
        <w:bidi w:val="0"/>
        <w:rPr>
          <w:rFonts w:hint="eastAsia"/>
          <w:lang w:val="en-US" w:eastAsia="zh-CN"/>
        </w:rPr>
      </w:pPr>
      <w:r>
        <w:rPr>
          <w:rFonts w:hint="eastAsia"/>
          <w:lang w:val="en-US" w:eastAsia="zh-CN"/>
        </w:rPr>
        <w:t>项目单位为更好地开展该项目，制定了《2025年城乡居民养老保险支出项目实施方案》，由组长陈春红，负责该项目的全盘组织实施；王鹏、张波、沈康、何秀负责具体事务及支付审批。根据《2025年城乡居民养老保险支出项目实施方案》要求，项目资金用于莎车县2025年城乡居民基础养老金发放及各类支出，保障养老参保人员待遇，保障老人生活水平与质量。</w:t>
      </w:r>
    </w:p>
    <w:p w14:paraId="16848845">
      <w:pPr>
        <w:bidi w:val="0"/>
        <w:rPr>
          <w:rFonts w:hint="eastAsia"/>
          <w:lang w:val="en-US" w:eastAsia="zh-CN"/>
        </w:rPr>
      </w:pPr>
      <w:r>
        <w:rPr>
          <w:rFonts w:hint="eastAsia"/>
          <w:lang w:val="en-US" w:eastAsia="zh-CN"/>
        </w:rPr>
        <w:t>（3）项目管理制度</w:t>
      </w:r>
    </w:p>
    <w:p w14:paraId="5B812CA1">
      <w:pPr>
        <w:bidi w:val="0"/>
        <w:rPr>
          <w:rFonts w:hint="eastAsia"/>
          <w:lang w:val="en-US" w:eastAsia="zh-CN"/>
        </w:rPr>
      </w:pPr>
      <w:r>
        <w:rPr>
          <w:rFonts w:hint="eastAsia"/>
          <w:lang w:val="en-US" w:eastAsia="zh-CN"/>
        </w:rPr>
        <w:t>2025年城乡居民养老保险支出项目是莎车县社会保险中心负责实施的项目，评价组根据项目单位提供的管理制度，归纳项目核心管理制度如下：</w:t>
      </w:r>
    </w:p>
    <w:p w14:paraId="4AE55D66">
      <w:pPr>
        <w:bidi w:val="0"/>
        <w:rPr>
          <w:rFonts w:hint="eastAsia"/>
          <w:lang w:val="en-US" w:eastAsia="zh-CN"/>
        </w:rPr>
      </w:pPr>
      <w:r>
        <w:rPr>
          <w:rFonts w:hint="eastAsia"/>
          <w:lang w:val="en-US" w:eastAsia="zh-CN"/>
        </w:rPr>
        <w:t>①财务管理方面</w:t>
      </w:r>
    </w:p>
    <w:p w14:paraId="514BBF5E">
      <w:pPr>
        <w:bidi w:val="0"/>
        <w:rPr>
          <w:rFonts w:hint="eastAsia"/>
          <w:lang w:val="en-US" w:eastAsia="zh-CN"/>
        </w:rPr>
      </w:pPr>
      <w:r>
        <w:rPr>
          <w:rFonts w:hint="eastAsia"/>
          <w:lang w:val="en-US" w:eastAsia="zh-CN"/>
        </w:rPr>
        <w:t>《莎车县社会保险中心财务管理制度》</w:t>
      </w:r>
    </w:p>
    <w:p w14:paraId="0BA009A1">
      <w:pPr>
        <w:bidi w:val="0"/>
        <w:rPr>
          <w:rFonts w:hint="eastAsia"/>
          <w:lang w:val="en-US" w:eastAsia="zh-CN"/>
        </w:rPr>
      </w:pPr>
      <w:r>
        <w:rPr>
          <w:rFonts w:hint="eastAsia"/>
          <w:lang w:val="en-US" w:eastAsia="zh-CN"/>
        </w:rPr>
        <w:t>《社会保险基金财务制度》</w:t>
      </w:r>
    </w:p>
    <w:p w14:paraId="4A90F03F">
      <w:pPr>
        <w:bidi w:val="0"/>
        <w:rPr>
          <w:rFonts w:hint="eastAsia"/>
          <w:lang w:val="en-US" w:eastAsia="zh-CN"/>
        </w:rPr>
      </w:pPr>
      <w:r>
        <w:rPr>
          <w:rFonts w:hint="eastAsia"/>
          <w:lang w:val="en-US" w:eastAsia="zh-CN"/>
        </w:rPr>
        <w:t>②业务管理方面</w:t>
      </w:r>
    </w:p>
    <w:p w14:paraId="16DE7D15">
      <w:pPr>
        <w:bidi w:val="0"/>
        <w:rPr>
          <w:rFonts w:hint="eastAsia"/>
          <w:lang w:val="en-US" w:eastAsia="zh-CN"/>
        </w:rPr>
      </w:pPr>
      <w:r>
        <w:rPr>
          <w:rFonts w:hint="eastAsia"/>
          <w:lang w:val="en-US" w:eastAsia="zh-CN"/>
        </w:rPr>
        <w:t>《2025年城乡居民养老保险支出项目实施方案》</w:t>
      </w:r>
    </w:p>
    <w:p w14:paraId="65A6028C">
      <w:pPr>
        <w:bidi w:val="0"/>
        <w:rPr>
          <w:rFonts w:hint="eastAsia"/>
          <w:lang w:val="en-US" w:eastAsia="zh-CN"/>
        </w:rPr>
      </w:pPr>
      <w:r>
        <w:rPr>
          <w:rFonts w:hint="eastAsia"/>
          <w:lang w:val="en-US" w:eastAsia="zh-CN"/>
        </w:rPr>
        <w:t>《莎车县社会保险中心社会保险经办内部控制制度》</w:t>
      </w:r>
    </w:p>
    <w:p w14:paraId="3AC9CC4B">
      <w:pPr>
        <w:pStyle w:val="6"/>
        <w:bidi w:val="0"/>
        <w:rPr>
          <w:rFonts w:hint="eastAsia"/>
          <w:lang w:val="en-US" w:eastAsia="zh-CN"/>
        </w:rPr>
      </w:pPr>
      <w:bookmarkStart w:id="200" w:name="_Toc19168"/>
      <w:bookmarkStart w:id="201" w:name="_Toc21521"/>
      <w:r>
        <w:rPr>
          <w:rFonts w:hint="eastAsia"/>
          <w:lang w:val="en-US" w:eastAsia="zh-CN"/>
        </w:rPr>
        <w:t>（二）</w:t>
      </w:r>
      <w:bookmarkStart w:id="202" w:name="（二）绩效目标"/>
      <w:bookmarkEnd w:id="202"/>
      <w:r>
        <w:rPr>
          <w:rFonts w:hint="eastAsia"/>
          <w:lang w:val="en-US" w:eastAsia="zh-CN"/>
        </w:rPr>
        <w:t>项目绩效目标</w:t>
      </w:r>
      <w:bookmarkEnd w:id="187"/>
      <w:bookmarkEnd w:id="188"/>
      <w:bookmarkEnd w:id="189"/>
      <w:bookmarkEnd w:id="190"/>
      <w:bookmarkEnd w:id="193"/>
      <w:bookmarkEnd w:id="194"/>
      <w:bookmarkEnd w:id="195"/>
      <w:bookmarkEnd w:id="196"/>
      <w:bookmarkEnd w:id="197"/>
      <w:bookmarkEnd w:id="198"/>
      <w:bookmarkEnd w:id="199"/>
      <w:bookmarkEnd w:id="200"/>
      <w:bookmarkEnd w:id="201"/>
    </w:p>
    <w:p w14:paraId="7A4A5BA6">
      <w:pPr>
        <w:bidi w:val="0"/>
        <w:rPr>
          <w:rFonts w:hint="eastAsia"/>
          <w:lang w:val="en-US" w:eastAsia="zh-CN"/>
        </w:rPr>
      </w:pPr>
      <w:bookmarkStart w:id="203" w:name="_Toc22409"/>
      <w:bookmarkStart w:id="204" w:name="_Toc12994"/>
      <w:bookmarkStart w:id="205" w:name="_Toc9707"/>
      <w:bookmarkStart w:id="206" w:name="_Toc26040"/>
      <w:r>
        <w:rPr>
          <w:rFonts w:hint="eastAsia"/>
          <w:lang w:val="en-US" w:eastAsia="zh-CN"/>
        </w:rPr>
        <w:t>项目绩效目标包括项目绩效总目标和阶段性目标。</w:t>
      </w:r>
    </w:p>
    <w:p w14:paraId="5FE6E5E4">
      <w:pPr>
        <w:pStyle w:val="7"/>
        <w:bidi w:val="0"/>
        <w:rPr>
          <w:rFonts w:hint="eastAsia"/>
          <w:lang w:val="en-US" w:eastAsia="zh-CN"/>
        </w:rPr>
      </w:pPr>
      <w:bookmarkStart w:id="207" w:name="_Toc9823"/>
      <w:bookmarkStart w:id="208" w:name="_Toc20852"/>
      <w:r>
        <w:rPr>
          <w:rFonts w:hint="eastAsia"/>
          <w:lang w:val="en-US" w:eastAsia="zh-CN"/>
        </w:rPr>
        <w:t>1.项目绩效总目标</w:t>
      </w:r>
      <w:bookmarkEnd w:id="207"/>
      <w:bookmarkEnd w:id="208"/>
    </w:p>
    <w:bookmarkEnd w:id="203"/>
    <w:bookmarkEnd w:id="204"/>
    <w:bookmarkEnd w:id="205"/>
    <w:bookmarkEnd w:id="206"/>
    <w:p w14:paraId="70016C1C">
      <w:pPr>
        <w:bidi w:val="0"/>
        <w:rPr>
          <w:rFonts w:hint="eastAsia"/>
          <w:lang w:val="en-US" w:eastAsia="zh-CN"/>
        </w:rPr>
      </w:pPr>
      <w:bookmarkStart w:id="209" w:name="_Toc15389"/>
      <w:bookmarkStart w:id="210" w:name="_Toc10208"/>
      <w:r>
        <w:rPr>
          <w:rFonts w:hint="eastAsia"/>
          <w:lang w:val="en-US" w:eastAsia="zh-CN"/>
        </w:rPr>
        <w:t>该项目共下达资金19538.19万元，用于发放城乡居民基本养老保险待遇，对符合条件的城乡老年居民每月发放基础养老金，全年发放12次，保障退休待遇人员65196人，每月按时向财政申领资金，并于每月20日之前发放完成；发放4352人丧葬费，个人账户支出52518人，转移支出202人，其他支出109人，保障养老保险参保人员待遇，保障老人生活水平与质量，提高居民收入，实现老有所养。该项目实施全面推进和不断完善覆盖全体城乡居民的基本养老保险制度，建立基础养老金正常调整机制，进一步健全服务网络，不断提高管理水平，促进莎车县经济发展，维护社会和谐稳定。</w:t>
      </w:r>
      <w:bookmarkEnd w:id="209"/>
      <w:bookmarkEnd w:id="210"/>
    </w:p>
    <w:p w14:paraId="17DD908D">
      <w:pPr>
        <w:pStyle w:val="7"/>
        <w:bidi w:val="0"/>
        <w:rPr>
          <w:rFonts w:hint="eastAsia"/>
          <w:lang w:val="en-US" w:eastAsia="zh-CN"/>
        </w:rPr>
      </w:pPr>
      <w:bookmarkStart w:id="211" w:name="_Toc7237"/>
      <w:bookmarkStart w:id="212" w:name="_Toc7921"/>
      <w:r>
        <w:rPr>
          <w:rFonts w:hint="eastAsia"/>
          <w:lang w:val="en-US" w:eastAsia="zh-CN"/>
        </w:rPr>
        <w:t>2.阶段性目标</w:t>
      </w:r>
      <w:bookmarkEnd w:id="211"/>
      <w:bookmarkEnd w:id="212"/>
    </w:p>
    <w:p w14:paraId="0E6FF834">
      <w:pPr>
        <w:bidi w:val="0"/>
        <w:rPr>
          <w:rFonts w:hint="eastAsia"/>
          <w:lang w:val="en-US" w:eastAsia="zh-CN"/>
        </w:rPr>
      </w:pPr>
      <w:bookmarkStart w:id="213" w:name="_Toc26444"/>
      <w:bookmarkStart w:id="214" w:name="_Toc8571"/>
      <w:r>
        <w:rPr>
          <w:rFonts w:hint="eastAsia"/>
          <w:lang w:val="en-US" w:eastAsia="zh-CN"/>
        </w:rPr>
        <w:t>该项目共下达资金19538.19万元，</w:t>
      </w:r>
      <w:bookmarkEnd w:id="213"/>
      <w:bookmarkEnd w:id="214"/>
      <w:r>
        <w:rPr>
          <w:rFonts w:hint="eastAsia"/>
          <w:lang w:val="en-US" w:eastAsia="zh-CN"/>
        </w:rPr>
        <w:t>用于发放城乡居民基本养老保险待遇，对符合条件的城乡老年居民每月发放基础养老金，全年发放12次，保障退休待遇人员65196人，每月按时向财政申领资金，并于每月20日之前发放完成；发放4352人丧葬费，个人账户支出52518人，转移支出202人，其他支出109人，保障养老保险参保人员待遇，保障老年人生活水平与质量，提高居民收入，实现老有所养。该项目实施全面推进和不断完善覆盖全体城乡居民的基本养老保险制度，建立基础养老金正常调整机制，进一步健全服务网络，不断提高管理水平，促进莎车县经济发展，维护社会和谐稳定。</w:t>
      </w:r>
    </w:p>
    <w:p w14:paraId="215F209D">
      <w:pPr>
        <w:bidi w:val="0"/>
        <w:rPr>
          <w:rFonts w:hint="default"/>
          <w:lang w:val="en-US" w:eastAsia="zh-CN"/>
        </w:rPr>
      </w:pPr>
      <w:r>
        <w:rPr>
          <w:rFonts w:hint="eastAsia"/>
          <w:lang w:val="en-US" w:eastAsia="zh-CN"/>
        </w:rPr>
        <w:t>（</w:t>
      </w:r>
      <w:r>
        <w:rPr>
          <w:rFonts w:hint="default"/>
          <w:lang w:val="en-US" w:eastAsia="zh-CN"/>
        </w:rPr>
        <w:t>1</w:t>
      </w:r>
      <w:r>
        <w:rPr>
          <w:rFonts w:hint="eastAsia"/>
          <w:lang w:val="en-US" w:eastAsia="zh-CN"/>
        </w:rPr>
        <w:t>）</w:t>
      </w:r>
      <w:r>
        <w:rPr>
          <w:rFonts w:hint="default"/>
          <w:lang w:val="en-US" w:eastAsia="zh-CN"/>
        </w:rPr>
        <w:t>项目产出目标</w:t>
      </w:r>
    </w:p>
    <w:p w14:paraId="68922A66">
      <w:pPr>
        <w:bidi w:val="0"/>
        <w:rPr>
          <w:rFonts w:hint="default"/>
          <w:lang w:val="en-US" w:eastAsia="zh-CN"/>
        </w:rPr>
      </w:pPr>
      <w:bookmarkStart w:id="215" w:name="_Toc22473"/>
      <w:bookmarkStart w:id="216" w:name="_Toc2612"/>
      <w:bookmarkStart w:id="217" w:name="_Toc24088"/>
      <w:bookmarkStart w:id="218" w:name="_Toc14745"/>
      <w:bookmarkStart w:id="219" w:name="_Toc7803"/>
      <w:bookmarkStart w:id="220" w:name="_Toc15932"/>
      <w:bookmarkStart w:id="221" w:name="_Toc4896"/>
      <w:bookmarkStart w:id="222" w:name="_Toc27342"/>
      <w:bookmarkStart w:id="223" w:name="_Toc19627"/>
      <w:bookmarkStart w:id="224" w:name="_Toc7642"/>
      <w:bookmarkStart w:id="225" w:name="_Toc4616"/>
      <w:bookmarkStart w:id="226" w:name="_Toc5311"/>
      <w:r>
        <w:rPr>
          <w:rFonts w:hint="default"/>
          <w:lang w:val="en-US" w:eastAsia="zh-CN"/>
        </w:rPr>
        <w:t>产出数量</w:t>
      </w:r>
    </w:p>
    <w:p w14:paraId="4C9151F7">
      <w:pPr>
        <w:bidi w:val="0"/>
        <w:rPr>
          <w:rFonts w:hint="default"/>
          <w:lang w:val="en-US" w:eastAsia="zh-CN"/>
        </w:rPr>
      </w:pPr>
      <w:r>
        <w:rPr>
          <w:rFonts w:hint="default"/>
          <w:lang w:val="en-US" w:eastAsia="zh-CN"/>
        </w:rPr>
        <w:t>“</w:t>
      </w:r>
      <w:r>
        <w:rPr>
          <w:rFonts w:hint="eastAsia"/>
          <w:lang w:val="en-US" w:eastAsia="zh-CN"/>
        </w:rPr>
        <w:t>符合条件的城乡老年居民基础养老金发放次数</w:t>
      </w:r>
      <w:r>
        <w:rPr>
          <w:rFonts w:hint="default"/>
          <w:lang w:val="en-US" w:eastAsia="zh-CN"/>
        </w:rPr>
        <w:t>”指标，预期指标值为</w:t>
      </w:r>
      <w:r>
        <w:rPr>
          <w:rFonts w:hint="eastAsia"/>
          <w:lang w:val="en-US" w:eastAsia="zh-CN"/>
        </w:rPr>
        <w:t>等于12次</w:t>
      </w:r>
      <w:r>
        <w:rPr>
          <w:rFonts w:hint="default"/>
          <w:lang w:val="en-US" w:eastAsia="zh-CN"/>
        </w:rPr>
        <w:t>。</w:t>
      </w:r>
    </w:p>
    <w:p w14:paraId="63CA38D4">
      <w:pPr>
        <w:bidi w:val="0"/>
        <w:rPr>
          <w:rFonts w:hint="default"/>
          <w:lang w:val="en-US" w:eastAsia="zh-CN"/>
        </w:rPr>
      </w:pPr>
      <w:r>
        <w:rPr>
          <w:rFonts w:hint="default"/>
          <w:lang w:val="en-US" w:eastAsia="zh-CN"/>
        </w:rPr>
        <w:t>“城乡待遇发放人数”指标，预期指标值为大于等于</w:t>
      </w:r>
      <w:r>
        <w:rPr>
          <w:rFonts w:hint="eastAsia"/>
          <w:lang w:val="en-US" w:eastAsia="zh-CN"/>
        </w:rPr>
        <w:t>65196</w:t>
      </w:r>
      <w:r>
        <w:rPr>
          <w:rFonts w:hint="default"/>
          <w:lang w:val="en-US" w:eastAsia="zh-CN"/>
        </w:rPr>
        <w:t>人。</w:t>
      </w:r>
    </w:p>
    <w:p w14:paraId="587C55B9">
      <w:pPr>
        <w:bidi w:val="0"/>
        <w:rPr>
          <w:rFonts w:hint="default"/>
          <w:lang w:val="en-US" w:eastAsia="zh-CN"/>
        </w:rPr>
      </w:pPr>
      <w:r>
        <w:rPr>
          <w:rFonts w:hint="default"/>
          <w:lang w:val="en-US" w:eastAsia="zh-CN"/>
        </w:rPr>
        <w:t>“丧葬发放人数”指标，预期指标值为</w:t>
      </w:r>
      <w:r>
        <w:rPr>
          <w:rFonts w:hint="eastAsia"/>
          <w:lang w:val="en-US" w:eastAsia="zh-CN"/>
        </w:rPr>
        <w:t>大于</w:t>
      </w:r>
      <w:r>
        <w:rPr>
          <w:rFonts w:hint="default"/>
          <w:lang w:val="en-US" w:eastAsia="zh-CN"/>
        </w:rPr>
        <w:t>等于</w:t>
      </w:r>
      <w:r>
        <w:rPr>
          <w:rFonts w:hint="eastAsia"/>
          <w:lang w:val="en-US" w:eastAsia="zh-CN"/>
        </w:rPr>
        <w:t>4352人</w:t>
      </w:r>
      <w:r>
        <w:rPr>
          <w:rFonts w:hint="default"/>
          <w:lang w:val="en-US" w:eastAsia="zh-CN"/>
        </w:rPr>
        <w:t>。</w:t>
      </w:r>
    </w:p>
    <w:p w14:paraId="204C7A25">
      <w:pPr>
        <w:bidi w:val="0"/>
        <w:rPr>
          <w:rFonts w:hint="default"/>
          <w:lang w:val="en-US" w:eastAsia="zh-CN"/>
        </w:rPr>
      </w:pPr>
      <w:r>
        <w:rPr>
          <w:rFonts w:hint="default"/>
          <w:lang w:val="en-US" w:eastAsia="zh-CN"/>
        </w:rPr>
        <w:t>“个人账户支出人数”指标，预期指标值为</w:t>
      </w:r>
      <w:r>
        <w:rPr>
          <w:rFonts w:hint="eastAsia"/>
          <w:lang w:val="en-US" w:eastAsia="zh-CN"/>
        </w:rPr>
        <w:t>大于</w:t>
      </w:r>
      <w:r>
        <w:rPr>
          <w:rFonts w:hint="default"/>
          <w:lang w:val="en-US" w:eastAsia="zh-CN"/>
        </w:rPr>
        <w:t>等于</w:t>
      </w:r>
      <w:r>
        <w:rPr>
          <w:rFonts w:hint="eastAsia"/>
          <w:lang w:val="en-US" w:eastAsia="zh-CN"/>
        </w:rPr>
        <w:t>52518人</w:t>
      </w:r>
      <w:r>
        <w:rPr>
          <w:rFonts w:hint="default"/>
          <w:lang w:val="en-US" w:eastAsia="zh-CN"/>
        </w:rPr>
        <w:t>。</w:t>
      </w:r>
    </w:p>
    <w:p w14:paraId="2BC960E7">
      <w:pPr>
        <w:bidi w:val="0"/>
        <w:rPr>
          <w:rFonts w:hint="default"/>
          <w:lang w:val="en-US" w:eastAsia="zh-CN"/>
        </w:rPr>
      </w:pPr>
      <w:r>
        <w:rPr>
          <w:rFonts w:hint="default"/>
          <w:lang w:val="en-US" w:eastAsia="zh-CN"/>
        </w:rPr>
        <w:t>“转移支出人数”指标，预期指标值为</w:t>
      </w:r>
      <w:r>
        <w:rPr>
          <w:rFonts w:hint="eastAsia"/>
          <w:lang w:val="en-US" w:eastAsia="zh-CN"/>
        </w:rPr>
        <w:t>大于</w:t>
      </w:r>
      <w:r>
        <w:rPr>
          <w:rFonts w:hint="default"/>
          <w:lang w:val="en-US" w:eastAsia="zh-CN"/>
        </w:rPr>
        <w:t>等于</w:t>
      </w:r>
      <w:r>
        <w:rPr>
          <w:rFonts w:hint="eastAsia"/>
          <w:lang w:val="en-US" w:eastAsia="zh-CN"/>
        </w:rPr>
        <w:t>202人</w:t>
      </w:r>
      <w:r>
        <w:rPr>
          <w:rFonts w:hint="default"/>
          <w:lang w:val="en-US" w:eastAsia="zh-CN"/>
        </w:rPr>
        <w:t>。</w:t>
      </w:r>
    </w:p>
    <w:p w14:paraId="79CDBD31">
      <w:pPr>
        <w:bidi w:val="0"/>
        <w:rPr>
          <w:rFonts w:hint="default"/>
          <w:lang w:val="en-US" w:eastAsia="zh-CN"/>
        </w:rPr>
      </w:pPr>
      <w:r>
        <w:rPr>
          <w:rFonts w:hint="default"/>
          <w:lang w:val="en-US" w:eastAsia="zh-CN"/>
        </w:rPr>
        <w:t>“其他支出人数”指标，预期指标值为</w:t>
      </w:r>
      <w:r>
        <w:rPr>
          <w:rFonts w:hint="eastAsia"/>
          <w:lang w:val="en-US" w:eastAsia="zh-CN"/>
        </w:rPr>
        <w:t>大于</w:t>
      </w:r>
      <w:r>
        <w:rPr>
          <w:rFonts w:hint="default"/>
          <w:lang w:val="en-US" w:eastAsia="zh-CN"/>
        </w:rPr>
        <w:t>等于</w:t>
      </w:r>
      <w:r>
        <w:rPr>
          <w:rFonts w:hint="eastAsia"/>
          <w:lang w:val="en-US" w:eastAsia="zh-CN"/>
        </w:rPr>
        <w:t>109人</w:t>
      </w:r>
      <w:r>
        <w:rPr>
          <w:rFonts w:hint="default"/>
          <w:lang w:val="en-US" w:eastAsia="zh-CN"/>
        </w:rPr>
        <w:t>。</w:t>
      </w:r>
    </w:p>
    <w:p w14:paraId="46090861">
      <w:pPr>
        <w:bidi w:val="0"/>
        <w:rPr>
          <w:rFonts w:hint="default"/>
          <w:lang w:val="en-US" w:eastAsia="zh-CN"/>
        </w:rPr>
      </w:pPr>
      <w:r>
        <w:rPr>
          <w:rFonts w:hint="default"/>
          <w:lang w:val="en-US" w:eastAsia="zh-CN"/>
        </w:rPr>
        <w:t>产出质量</w:t>
      </w:r>
    </w:p>
    <w:p w14:paraId="12556853">
      <w:pPr>
        <w:bidi w:val="0"/>
        <w:rPr>
          <w:rFonts w:hint="default"/>
          <w:lang w:val="en-US" w:eastAsia="zh-CN"/>
        </w:rPr>
      </w:pPr>
      <w:r>
        <w:rPr>
          <w:rFonts w:hint="default"/>
          <w:lang w:val="en-US" w:eastAsia="zh-CN"/>
        </w:rPr>
        <w:t>“</w:t>
      </w:r>
      <w:r>
        <w:rPr>
          <w:rFonts w:hint="eastAsia"/>
          <w:lang w:val="en-US" w:eastAsia="zh-CN"/>
        </w:rPr>
        <w:t>符合待遇享受条件人员享受待遇率</w:t>
      </w:r>
      <w:r>
        <w:rPr>
          <w:rFonts w:hint="default"/>
          <w:lang w:val="en-US" w:eastAsia="zh-CN"/>
        </w:rPr>
        <w:t>”指标，预期指标值为</w:t>
      </w:r>
      <w:r>
        <w:rPr>
          <w:rFonts w:hint="eastAsia"/>
          <w:lang w:val="en-US" w:eastAsia="zh-CN"/>
        </w:rPr>
        <w:t>等于100%</w:t>
      </w:r>
      <w:r>
        <w:rPr>
          <w:rFonts w:hint="default"/>
          <w:lang w:val="en-US" w:eastAsia="zh-CN"/>
        </w:rPr>
        <w:t>。</w:t>
      </w:r>
    </w:p>
    <w:p w14:paraId="078B5FCF">
      <w:pPr>
        <w:bidi w:val="0"/>
        <w:rPr>
          <w:rFonts w:hint="default"/>
          <w:lang w:val="en-US" w:eastAsia="zh-CN"/>
        </w:rPr>
      </w:pPr>
      <w:r>
        <w:rPr>
          <w:rFonts w:hint="default"/>
          <w:lang w:val="en-US" w:eastAsia="zh-CN"/>
        </w:rPr>
        <w:t>产出时效</w:t>
      </w:r>
    </w:p>
    <w:p w14:paraId="172084F5">
      <w:pPr>
        <w:bidi w:val="0"/>
        <w:rPr>
          <w:rFonts w:hint="default"/>
          <w:lang w:val="en-US" w:eastAsia="zh-CN"/>
        </w:rPr>
      </w:pPr>
      <w:r>
        <w:rPr>
          <w:rFonts w:hint="default"/>
          <w:lang w:val="en-US" w:eastAsia="zh-CN"/>
        </w:rPr>
        <w:t>“</w:t>
      </w:r>
      <w:r>
        <w:rPr>
          <w:rFonts w:hint="eastAsia"/>
          <w:lang w:val="en-US" w:eastAsia="zh-CN"/>
        </w:rPr>
        <w:t>基础养老金按时足额发放比率</w:t>
      </w:r>
      <w:r>
        <w:rPr>
          <w:rFonts w:hint="default"/>
          <w:lang w:val="en-US" w:eastAsia="zh-CN"/>
        </w:rPr>
        <w:t>”指标，预期指标值为</w:t>
      </w:r>
      <w:r>
        <w:rPr>
          <w:rFonts w:hint="eastAsia"/>
          <w:lang w:val="en-US" w:eastAsia="zh-CN"/>
        </w:rPr>
        <w:t>等于100%</w:t>
      </w:r>
      <w:r>
        <w:rPr>
          <w:rFonts w:hint="default"/>
          <w:lang w:val="en-US" w:eastAsia="zh-CN"/>
        </w:rPr>
        <w:t>。</w:t>
      </w:r>
    </w:p>
    <w:p w14:paraId="54CD53C4">
      <w:pPr>
        <w:bidi w:val="0"/>
        <w:rPr>
          <w:rFonts w:hint="default"/>
          <w:lang w:val="en-US" w:eastAsia="zh-CN"/>
        </w:rPr>
      </w:pPr>
      <w:r>
        <w:rPr>
          <w:rFonts w:hint="eastAsia"/>
          <w:lang w:val="en-US" w:eastAsia="zh-CN"/>
        </w:rPr>
        <w:t>（</w:t>
      </w:r>
      <w:r>
        <w:rPr>
          <w:rFonts w:hint="default"/>
          <w:lang w:val="en-US" w:eastAsia="zh-CN"/>
        </w:rPr>
        <w:t>2</w:t>
      </w:r>
      <w:r>
        <w:rPr>
          <w:rFonts w:hint="eastAsia"/>
          <w:lang w:val="en-US" w:eastAsia="zh-CN"/>
        </w:rPr>
        <w:t>）</w:t>
      </w:r>
      <w:r>
        <w:rPr>
          <w:rFonts w:hint="default"/>
          <w:lang w:val="en-US" w:eastAsia="zh-CN"/>
        </w:rPr>
        <w:t>成本</w:t>
      </w:r>
      <w:r>
        <w:rPr>
          <w:rFonts w:hint="eastAsia"/>
          <w:lang w:val="en-US" w:eastAsia="zh-CN"/>
        </w:rPr>
        <w:t>目标</w:t>
      </w:r>
    </w:p>
    <w:p w14:paraId="33EF28B0">
      <w:pPr>
        <w:bidi w:val="0"/>
        <w:rPr>
          <w:rFonts w:hint="default"/>
          <w:lang w:val="en-US" w:eastAsia="zh-CN"/>
        </w:rPr>
      </w:pPr>
      <w:r>
        <w:rPr>
          <w:rFonts w:hint="default"/>
          <w:lang w:val="en-US" w:eastAsia="zh-CN"/>
        </w:rPr>
        <w:t>“城乡居民基础养老金平均标准”指标，预期指标值为</w:t>
      </w:r>
      <w:r>
        <w:rPr>
          <w:rFonts w:hint="eastAsia"/>
          <w:lang w:val="en-US" w:eastAsia="zh-CN"/>
        </w:rPr>
        <w:t>小于</w:t>
      </w:r>
      <w:r>
        <w:rPr>
          <w:rFonts w:hint="default"/>
          <w:lang w:val="en-US" w:eastAsia="zh-CN"/>
        </w:rPr>
        <w:t>等于</w:t>
      </w:r>
      <w:r>
        <w:rPr>
          <w:rFonts w:hint="eastAsia"/>
          <w:lang w:val="en-US" w:eastAsia="zh-CN"/>
        </w:rPr>
        <w:t>2719元/年</w:t>
      </w:r>
      <w:r>
        <w:rPr>
          <w:rFonts w:hint="default"/>
          <w:lang w:val="en-US" w:eastAsia="zh-CN"/>
        </w:rPr>
        <w:t>。</w:t>
      </w:r>
    </w:p>
    <w:p w14:paraId="3B44EDAA">
      <w:pPr>
        <w:bidi w:val="0"/>
        <w:rPr>
          <w:rFonts w:hint="default"/>
          <w:lang w:val="en-US" w:eastAsia="zh-CN"/>
        </w:rPr>
      </w:pPr>
      <w:r>
        <w:rPr>
          <w:rFonts w:hint="default"/>
          <w:lang w:val="en-US" w:eastAsia="zh-CN"/>
        </w:rPr>
        <w:t>“个人账户支出预计人均”指标，预期指标值为</w:t>
      </w:r>
      <w:r>
        <w:rPr>
          <w:rFonts w:hint="eastAsia"/>
          <w:lang w:val="en-US" w:eastAsia="zh-CN"/>
        </w:rPr>
        <w:t>小于</w:t>
      </w:r>
      <w:r>
        <w:rPr>
          <w:rFonts w:hint="default"/>
          <w:lang w:val="en-US" w:eastAsia="zh-CN"/>
        </w:rPr>
        <w:t>等于</w:t>
      </w:r>
      <w:r>
        <w:rPr>
          <w:rFonts w:hint="eastAsia"/>
          <w:lang w:val="en-US" w:eastAsia="zh-CN"/>
        </w:rPr>
        <w:t>244.92元</w:t>
      </w:r>
      <w:r>
        <w:rPr>
          <w:rFonts w:hint="default"/>
          <w:lang w:val="en-US" w:eastAsia="zh-CN"/>
        </w:rPr>
        <w:t>。</w:t>
      </w:r>
    </w:p>
    <w:p w14:paraId="56AB2D11">
      <w:pPr>
        <w:bidi w:val="0"/>
        <w:rPr>
          <w:rFonts w:hint="default"/>
          <w:lang w:val="en-US" w:eastAsia="zh-CN"/>
        </w:rPr>
      </w:pPr>
      <w:r>
        <w:rPr>
          <w:rFonts w:hint="default"/>
          <w:lang w:val="en-US" w:eastAsia="zh-CN"/>
        </w:rPr>
        <w:t>“丧葬补助发放人均”指标，预期指标值为</w:t>
      </w:r>
      <w:r>
        <w:rPr>
          <w:rFonts w:hint="eastAsia"/>
          <w:lang w:val="en-US" w:eastAsia="zh-CN"/>
        </w:rPr>
        <w:t>小于</w:t>
      </w:r>
      <w:r>
        <w:rPr>
          <w:rFonts w:hint="default"/>
          <w:lang w:val="en-US" w:eastAsia="zh-CN"/>
        </w:rPr>
        <w:t>等于</w:t>
      </w:r>
      <w:r>
        <w:rPr>
          <w:rFonts w:hint="eastAsia"/>
          <w:lang w:val="en-US" w:eastAsia="zh-CN"/>
        </w:rPr>
        <w:t>900元</w:t>
      </w:r>
      <w:r>
        <w:rPr>
          <w:rFonts w:hint="default"/>
          <w:lang w:val="en-US" w:eastAsia="zh-CN"/>
        </w:rPr>
        <w:t>。</w:t>
      </w:r>
    </w:p>
    <w:p w14:paraId="6A1D06CB">
      <w:pPr>
        <w:bidi w:val="0"/>
        <w:rPr>
          <w:rFonts w:hint="default"/>
          <w:lang w:val="en-US" w:eastAsia="zh-CN"/>
        </w:rPr>
      </w:pPr>
      <w:r>
        <w:rPr>
          <w:rFonts w:hint="default"/>
          <w:lang w:val="en-US" w:eastAsia="zh-CN"/>
        </w:rPr>
        <w:t>“转移支出人均”指标，预期指标值为</w:t>
      </w:r>
      <w:r>
        <w:rPr>
          <w:rFonts w:hint="eastAsia"/>
          <w:lang w:val="en-US" w:eastAsia="zh-CN"/>
        </w:rPr>
        <w:t>小于</w:t>
      </w:r>
      <w:r>
        <w:rPr>
          <w:rFonts w:hint="default"/>
          <w:lang w:val="en-US" w:eastAsia="zh-CN"/>
        </w:rPr>
        <w:t>等于</w:t>
      </w:r>
      <w:r>
        <w:rPr>
          <w:rFonts w:hint="eastAsia"/>
          <w:lang w:val="en-US" w:eastAsia="zh-CN"/>
        </w:rPr>
        <w:t>3576.89元</w:t>
      </w:r>
      <w:r>
        <w:rPr>
          <w:rFonts w:hint="default"/>
          <w:lang w:val="en-US" w:eastAsia="zh-CN"/>
        </w:rPr>
        <w:t>。</w:t>
      </w:r>
    </w:p>
    <w:p w14:paraId="6273D60A">
      <w:pPr>
        <w:bidi w:val="0"/>
        <w:rPr>
          <w:rFonts w:hint="default"/>
          <w:lang w:val="en-US" w:eastAsia="zh-CN"/>
        </w:rPr>
      </w:pPr>
      <w:r>
        <w:rPr>
          <w:rFonts w:hint="default"/>
          <w:lang w:val="en-US" w:eastAsia="zh-CN"/>
        </w:rPr>
        <w:t>“其他支出人均”指标，预期指标值为</w:t>
      </w:r>
      <w:r>
        <w:rPr>
          <w:rFonts w:hint="eastAsia"/>
          <w:lang w:val="en-US" w:eastAsia="zh-CN"/>
        </w:rPr>
        <w:t>小于</w:t>
      </w:r>
      <w:r>
        <w:rPr>
          <w:rFonts w:hint="default"/>
          <w:lang w:val="en-US" w:eastAsia="zh-CN"/>
        </w:rPr>
        <w:t>等于</w:t>
      </w:r>
      <w:r>
        <w:rPr>
          <w:rFonts w:hint="eastAsia"/>
          <w:lang w:val="en-US" w:eastAsia="zh-CN"/>
        </w:rPr>
        <w:t>2562.07元</w:t>
      </w:r>
      <w:r>
        <w:rPr>
          <w:rFonts w:hint="default"/>
          <w:lang w:val="en-US" w:eastAsia="zh-CN"/>
        </w:rPr>
        <w:t>。</w:t>
      </w:r>
    </w:p>
    <w:p w14:paraId="540F27E0">
      <w:pPr>
        <w:bidi w:val="0"/>
        <w:rPr>
          <w:rFonts w:hint="default"/>
          <w:lang w:val="en-US" w:eastAsia="zh-CN"/>
        </w:rPr>
      </w:pPr>
      <w:r>
        <w:rPr>
          <w:rFonts w:hint="default"/>
          <w:lang w:val="en-US" w:eastAsia="zh-CN"/>
        </w:rPr>
        <w:t>“上解上级支出”指标，预期指标值为</w:t>
      </w:r>
      <w:r>
        <w:rPr>
          <w:rFonts w:hint="eastAsia"/>
          <w:lang w:val="en-US" w:eastAsia="zh-CN"/>
        </w:rPr>
        <w:t>小于</w:t>
      </w:r>
      <w:r>
        <w:rPr>
          <w:rFonts w:hint="default"/>
          <w:lang w:val="en-US" w:eastAsia="zh-CN"/>
        </w:rPr>
        <w:t>等于</w:t>
      </w:r>
      <w:r>
        <w:rPr>
          <w:rFonts w:hint="eastAsia"/>
          <w:lang w:val="en-US" w:eastAsia="zh-CN"/>
        </w:rPr>
        <w:t>33万元</w:t>
      </w:r>
      <w:r>
        <w:rPr>
          <w:rFonts w:hint="default"/>
          <w:lang w:val="en-US" w:eastAsia="zh-CN"/>
        </w:rPr>
        <w:t>。</w:t>
      </w:r>
    </w:p>
    <w:p w14:paraId="0082B2A8">
      <w:pPr>
        <w:bidi w:val="0"/>
        <w:rPr>
          <w:rFonts w:hint="default"/>
          <w:lang w:val="en-US" w:eastAsia="zh-CN"/>
        </w:rPr>
      </w:pPr>
      <w:r>
        <w:rPr>
          <w:rFonts w:hint="eastAsia"/>
          <w:lang w:val="en-US" w:eastAsia="zh-CN"/>
        </w:rPr>
        <w:t>（3）</w:t>
      </w:r>
      <w:r>
        <w:rPr>
          <w:rFonts w:hint="default"/>
          <w:lang w:val="en-US" w:eastAsia="zh-CN"/>
        </w:rPr>
        <w:t>项目效益目标</w:t>
      </w:r>
    </w:p>
    <w:p w14:paraId="74E1C9B1">
      <w:pPr>
        <w:bidi w:val="0"/>
        <w:rPr>
          <w:rFonts w:hint="default"/>
          <w:lang w:val="en-US" w:eastAsia="zh-CN"/>
        </w:rPr>
      </w:pPr>
      <w:r>
        <w:rPr>
          <w:rFonts w:hint="default"/>
          <w:lang w:val="en-US" w:eastAsia="zh-CN"/>
        </w:rPr>
        <w:t>社会效益指标</w:t>
      </w:r>
    </w:p>
    <w:p w14:paraId="30010D2B">
      <w:pPr>
        <w:bidi w:val="0"/>
        <w:rPr>
          <w:rFonts w:hint="eastAsia"/>
          <w:lang w:val="en-US" w:eastAsia="zh-CN"/>
        </w:rPr>
      </w:pPr>
      <w:r>
        <w:rPr>
          <w:rFonts w:hint="default"/>
          <w:lang w:val="en-US" w:eastAsia="zh-CN"/>
        </w:rPr>
        <w:t>“</w:t>
      </w:r>
      <w:r>
        <w:rPr>
          <w:rFonts w:hint="eastAsia"/>
          <w:lang w:val="en-US" w:eastAsia="zh-CN"/>
        </w:rPr>
        <w:t>保障养老参保人员待遇</w:t>
      </w:r>
      <w:r>
        <w:rPr>
          <w:rFonts w:hint="default"/>
          <w:lang w:val="en-US" w:eastAsia="zh-CN"/>
        </w:rPr>
        <w:t>”指标，预期指标值为</w:t>
      </w:r>
      <w:r>
        <w:rPr>
          <w:rFonts w:hint="eastAsia"/>
          <w:lang w:val="en-US" w:eastAsia="zh-CN"/>
        </w:rPr>
        <w:t>有效保障</w:t>
      </w:r>
      <w:r>
        <w:rPr>
          <w:rFonts w:hint="default"/>
          <w:lang w:val="en-US" w:eastAsia="zh-CN"/>
        </w:rPr>
        <w:t>。</w:t>
      </w:r>
    </w:p>
    <w:p w14:paraId="531A535E">
      <w:pPr>
        <w:bidi w:val="0"/>
        <w:rPr>
          <w:rFonts w:hint="default"/>
          <w:lang w:val="en-US" w:eastAsia="zh-CN"/>
        </w:rPr>
      </w:pPr>
      <w:r>
        <w:rPr>
          <w:rFonts w:hint="eastAsia"/>
          <w:lang w:val="en-US" w:eastAsia="zh-CN"/>
        </w:rPr>
        <w:t>（4）满意度目标</w:t>
      </w:r>
    </w:p>
    <w:p w14:paraId="4EE36666">
      <w:pPr>
        <w:bidi w:val="0"/>
        <w:rPr>
          <w:rFonts w:hint="default"/>
          <w:lang w:val="en-US" w:eastAsia="zh-CN"/>
        </w:rPr>
      </w:pPr>
      <w:r>
        <w:rPr>
          <w:rFonts w:hint="default"/>
          <w:lang w:val="en-US" w:eastAsia="zh-CN"/>
        </w:rPr>
        <w:t>服务对象满意度指标</w:t>
      </w:r>
    </w:p>
    <w:p w14:paraId="053CFB5A">
      <w:pPr>
        <w:bidi w:val="0"/>
        <w:rPr>
          <w:rFonts w:hint="default"/>
        </w:rPr>
      </w:pPr>
      <w:r>
        <w:rPr>
          <w:rFonts w:hint="default"/>
          <w:lang w:val="en-US" w:eastAsia="zh-CN"/>
        </w:rPr>
        <w:t>“</w:t>
      </w:r>
      <w:r>
        <w:rPr>
          <w:rFonts w:hint="eastAsia"/>
          <w:lang w:val="en-US" w:eastAsia="zh-CN"/>
        </w:rPr>
        <w:t>城乡参保人员满意度</w:t>
      </w:r>
      <w:r>
        <w:rPr>
          <w:rFonts w:hint="default"/>
          <w:lang w:val="en-US" w:eastAsia="zh-CN"/>
        </w:rPr>
        <w:t>”指标，预期指标值为</w:t>
      </w:r>
      <w:r>
        <w:rPr>
          <w:rFonts w:hint="eastAsia"/>
          <w:lang w:val="en-US" w:eastAsia="zh-CN"/>
        </w:rPr>
        <w:t>大于等于95%</w:t>
      </w:r>
      <w:r>
        <w:rPr>
          <w:rFonts w:hint="default"/>
          <w:lang w:val="en-US" w:eastAsia="zh-CN"/>
        </w:rPr>
        <w:t>。</w:t>
      </w:r>
    </w:p>
    <w:p w14:paraId="53E17E3A">
      <w:pPr>
        <w:pStyle w:val="5"/>
        <w:bidi w:val="0"/>
        <w:rPr>
          <w:rFonts w:hint="eastAsia"/>
          <w:lang w:val="en-US" w:eastAsia="zh-CN"/>
        </w:rPr>
      </w:pPr>
      <w:bookmarkStart w:id="227" w:name="_Toc8122"/>
      <w:bookmarkStart w:id="228" w:name="_Toc15503"/>
      <w:r>
        <w:rPr>
          <w:rFonts w:hint="eastAsia"/>
          <w:lang w:val="en-US" w:eastAsia="zh-CN"/>
        </w:rPr>
        <w:t>二、绩效评价工作开展情况</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Start w:id="229" w:name="_TOC_250000"/>
      <w:bookmarkEnd w:id="229"/>
    </w:p>
    <w:p w14:paraId="0365514D">
      <w:pPr>
        <w:pStyle w:val="6"/>
        <w:bidi w:val="0"/>
        <w:rPr>
          <w:rFonts w:hint="eastAsia"/>
          <w:lang w:val="en-US" w:eastAsia="zh-CN"/>
        </w:rPr>
      </w:pPr>
      <w:bookmarkStart w:id="230" w:name="_Toc192"/>
      <w:bookmarkStart w:id="231" w:name="_Toc2878"/>
      <w:bookmarkStart w:id="232" w:name="_Toc32572"/>
      <w:bookmarkStart w:id="233" w:name="_Toc18574"/>
      <w:bookmarkStart w:id="234" w:name="_Toc28817"/>
      <w:bookmarkStart w:id="235" w:name="_Toc5198"/>
      <w:bookmarkStart w:id="236" w:name="_Toc14263"/>
      <w:bookmarkStart w:id="237" w:name="_Toc26508"/>
      <w:bookmarkStart w:id="238" w:name="_Toc28478"/>
      <w:bookmarkStart w:id="239" w:name="_Toc19016"/>
      <w:bookmarkStart w:id="240" w:name="_Toc24526"/>
      <w:bookmarkStart w:id="241" w:name="_Toc24633"/>
      <w:bookmarkStart w:id="242" w:name="_Toc596"/>
      <w:r>
        <w:rPr>
          <w:rFonts w:hint="eastAsia"/>
          <w:lang w:val="en-US" w:eastAsia="zh-CN"/>
        </w:rPr>
        <w:t>（一）绩效评价目的、对象和范围</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154E977C">
      <w:pPr>
        <w:pStyle w:val="7"/>
        <w:bidi w:val="0"/>
        <w:rPr>
          <w:rFonts w:hint="eastAsia"/>
          <w:lang w:val="en-US" w:eastAsia="zh-CN"/>
        </w:rPr>
      </w:pPr>
      <w:bookmarkStart w:id="243" w:name="_Toc27624"/>
      <w:bookmarkStart w:id="244" w:name="_Toc15860"/>
      <w:bookmarkStart w:id="245" w:name="_Toc6733"/>
      <w:r>
        <w:rPr>
          <w:rFonts w:hint="eastAsia"/>
          <w:lang w:val="en-US" w:eastAsia="zh-CN"/>
        </w:rPr>
        <w:t>1.绩效评价目的</w:t>
      </w:r>
      <w:bookmarkEnd w:id="243"/>
      <w:bookmarkEnd w:id="244"/>
      <w:bookmarkEnd w:id="245"/>
    </w:p>
    <w:p w14:paraId="4DAD422F">
      <w:pPr>
        <w:bidi w:val="0"/>
        <w:rPr>
          <w:rFonts w:hint="eastAsia"/>
          <w:lang w:val="en-US" w:eastAsia="zh-CN"/>
        </w:rPr>
      </w:pPr>
      <w:bookmarkStart w:id="246" w:name="_Toc31591"/>
      <w:bookmarkStart w:id="247" w:name="_Toc23450"/>
      <w:bookmarkStart w:id="248" w:name="_Toc4347"/>
      <w:r>
        <w:rPr>
          <w:rFonts w:hint="eastAsia"/>
          <w:lang w:val="en-US" w:eastAsia="zh-CN"/>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w:t>
      </w:r>
      <w:bookmarkEnd w:id="246"/>
      <w:bookmarkEnd w:id="247"/>
    </w:p>
    <w:p w14:paraId="4E80E66A">
      <w:pPr>
        <w:bidi w:val="0"/>
        <w:rPr>
          <w:rFonts w:hint="eastAsia"/>
          <w:lang w:val="en-US" w:eastAsia="zh-CN"/>
        </w:rPr>
      </w:pPr>
      <w:bookmarkStart w:id="249" w:name="_Toc16577"/>
      <w:bookmarkStart w:id="250" w:name="_Toc32423"/>
      <w:r>
        <w:rPr>
          <w:rFonts w:hint="eastAsia"/>
          <w:lang w:val="en-US" w:eastAsia="zh-CN"/>
        </w:rPr>
        <w:t>绩效评价的目的是发现预算资金在项目立项、执行管理中制度保障、实际操作方面的缺陷和薄弱环节，同时总结提炼项目和部门的经验做法，为预算部门改进、完善项目管理和预算管理提供可行性参考建议。也为下一年预算编制与评审提供充分有效的依据，以达到改进预算管理、优化资源配置、提高预算资金使用效益的目的。</w:t>
      </w:r>
      <w:bookmarkEnd w:id="249"/>
      <w:bookmarkEnd w:id="250"/>
      <w:bookmarkStart w:id="251" w:name="_Toc28692"/>
      <w:bookmarkStart w:id="252" w:name="_Toc19744"/>
    </w:p>
    <w:p w14:paraId="037BB714">
      <w:pPr>
        <w:pStyle w:val="7"/>
        <w:bidi w:val="0"/>
        <w:rPr>
          <w:rFonts w:hint="eastAsia"/>
          <w:lang w:val="en-US" w:eastAsia="zh-CN"/>
        </w:rPr>
      </w:pPr>
      <w:r>
        <w:rPr>
          <w:rFonts w:hint="eastAsia"/>
          <w:lang w:val="en-US" w:eastAsia="zh-CN"/>
        </w:rPr>
        <w:t>2.绩效评价对象</w:t>
      </w:r>
      <w:bookmarkEnd w:id="248"/>
      <w:bookmarkEnd w:id="251"/>
      <w:bookmarkEnd w:id="252"/>
    </w:p>
    <w:p w14:paraId="11090436">
      <w:pPr>
        <w:bidi w:val="0"/>
        <w:rPr>
          <w:rFonts w:hint="eastAsia"/>
        </w:rPr>
      </w:pPr>
      <w:r>
        <w:rPr>
          <w:rFonts w:hint="eastAsia"/>
          <w:lang w:val="en-US" w:eastAsia="zh-CN"/>
        </w:rPr>
        <w:t>本次绩效评价遵循财政部《项目支出绩效评价管理办法》（财预〔2020〕10号）和自治区财政厅《自治区财政支出绩效评价管理暂行办法》（新财预〔2018〕189号）等相关政策文件与规定，</w:t>
      </w:r>
      <w:r>
        <w:rPr>
          <w:rFonts w:hint="eastAsia"/>
          <w:lang w:eastAsia="zh-CN"/>
        </w:rPr>
        <w:t>对</w:t>
      </w:r>
      <w:r>
        <w:rPr>
          <w:rFonts w:hint="eastAsia"/>
          <w:lang w:val="en-US" w:eastAsia="zh-CN"/>
        </w:rPr>
        <w:t>2025年城乡居民养老保险支出项目</w:t>
      </w:r>
      <w:r>
        <w:rPr>
          <w:rFonts w:hint="eastAsia"/>
          <w:lang w:eastAsia="zh-CN"/>
        </w:rPr>
        <w:t>展开评价，主要评价该项目的投入、产出及效益</w:t>
      </w:r>
      <w:r>
        <w:rPr>
          <w:rFonts w:hint="eastAsia"/>
        </w:rPr>
        <w:t>。</w:t>
      </w:r>
    </w:p>
    <w:p w14:paraId="2C4AE40E">
      <w:pPr>
        <w:pStyle w:val="7"/>
        <w:bidi w:val="0"/>
        <w:rPr>
          <w:rFonts w:hint="eastAsia"/>
          <w:lang w:val="en-US" w:eastAsia="zh-CN"/>
        </w:rPr>
      </w:pPr>
      <w:bookmarkStart w:id="253" w:name="_Toc28781"/>
      <w:bookmarkStart w:id="254" w:name="_Toc30710"/>
      <w:bookmarkStart w:id="255" w:name="_Toc20664"/>
      <w:r>
        <w:rPr>
          <w:rFonts w:hint="eastAsia"/>
          <w:lang w:val="en-US" w:eastAsia="zh-CN"/>
        </w:rPr>
        <w:t>3.绩效评价范围</w:t>
      </w:r>
      <w:bookmarkEnd w:id="253"/>
      <w:bookmarkEnd w:id="254"/>
      <w:bookmarkEnd w:id="255"/>
    </w:p>
    <w:p w14:paraId="5C749B0D">
      <w:pPr>
        <w:bidi w:val="0"/>
        <w:rPr>
          <w:rFonts w:hint="eastAsia"/>
        </w:rPr>
      </w:pPr>
      <w:bookmarkStart w:id="256" w:name="_Toc10152"/>
      <w:bookmarkStart w:id="257" w:name="_Toc7990"/>
      <w:bookmarkStart w:id="258" w:name="_Toc2961"/>
      <w:bookmarkStart w:id="259" w:name="_Toc29699"/>
      <w:bookmarkStart w:id="260" w:name="_Toc32655"/>
      <w:r>
        <w:rPr>
          <w:rFonts w:hint="eastAsia"/>
          <w:lang w:val="en-US" w:eastAsia="zh-CN"/>
        </w:rPr>
        <w:t>本次绩效评价范围主要围绕项目决策情况、项目管理、产出情况、效益情况、资金管理和使用情况、相关管理制度办法的健全性及执行情况，以及其他相关内容。</w:t>
      </w:r>
    </w:p>
    <w:bookmarkEnd w:id="256"/>
    <w:bookmarkEnd w:id="257"/>
    <w:bookmarkEnd w:id="258"/>
    <w:bookmarkEnd w:id="259"/>
    <w:bookmarkEnd w:id="260"/>
    <w:p w14:paraId="0D2B2C20">
      <w:pPr>
        <w:pStyle w:val="6"/>
        <w:bidi w:val="0"/>
        <w:rPr>
          <w:rFonts w:hint="eastAsia"/>
          <w:lang w:val="en-US" w:eastAsia="zh-CN"/>
        </w:rPr>
      </w:pPr>
      <w:bookmarkStart w:id="261" w:name="_Toc20955"/>
      <w:bookmarkStart w:id="262" w:name="_Toc7091"/>
      <w:bookmarkStart w:id="263" w:name="_Toc21303"/>
      <w:bookmarkStart w:id="264" w:name="_Toc18905"/>
      <w:bookmarkStart w:id="265" w:name="_Toc11857"/>
      <w:bookmarkStart w:id="266" w:name="_Toc12361"/>
      <w:bookmarkStart w:id="267" w:name="_Toc1868"/>
      <w:bookmarkStart w:id="268" w:name="_Toc18477"/>
      <w:bookmarkStart w:id="269" w:name="_Toc19251"/>
      <w:bookmarkStart w:id="270" w:name="_Toc7351"/>
      <w:r>
        <w:rPr>
          <w:rFonts w:hint="eastAsia"/>
          <w:lang w:val="en-US" w:eastAsia="zh-CN"/>
        </w:rPr>
        <w:t>（二）绩效评价原则、评价指标体系、评价方法、评价标准</w:t>
      </w:r>
      <w:bookmarkEnd w:id="261"/>
      <w:bookmarkEnd w:id="262"/>
      <w:bookmarkEnd w:id="263"/>
      <w:bookmarkEnd w:id="264"/>
      <w:bookmarkEnd w:id="265"/>
      <w:bookmarkEnd w:id="266"/>
      <w:bookmarkEnd w:id="267"/>
      <w:bookmarkEnd w:id="268"/>
    </w:p>
    <w:p w14:paraId="69CC2807">
      <w:pPr>
        <w:pStyle w:val="7"/>
        <w:bidi w:val="0"/>
        <w:rPr>
          <w:rFonts w:hint="eastAsia"/>
          <w:lang w:val="en-US" w:eastAsia="zh-CN"/>
        </w:rPr>
      </w:pPr>
      <w:bookmarkStart w:id="271" w:name="_Toc25505"/>
      <w:bookmarkStart w:id="272" w:name="_Toc29251"/>
      <w:bookmarkStart w:id="273" w:name="_Toc31771"/>
      <w:bookmarkStart w:id="274" w:name="_Toc26481"/>
      <w:bookmarkStart w:id="275" w:name="_Toc22525"/>
      <w:bookmarkStart w:id="276" w:name="_Toc24542"/>
      <w:bookmarkStart w:id="277" w:name="_Toc1602"/>
      <w:r>
        <w:rPr>
          <w:rFonts w:hint="eastAsia"/>
          <w:lang w:val="en-US" w:eastAsia="zh-CN"/>
        </w:rPr>
        <w:t>1.绩效评价原则</w:t>
      </w:r>
      <w:bookmarkEnd w:id="271"/>
      <w:bookmarkEnd w:id="272"/>
      <w:bookmarkEnd w:id="273"/>
      <w:bookmarkEnd w:id="274"/>
      <w:bookmarkEnd w:id="275"/>
      <w:bookmarkEnd w:id="276"/>
      <w:bookmarkEnd w:id="277"/>
    </w:p>
    <w:p w14:paraId="23A6A794">
      <w:pPr>
        <w:bidi w:val="0"/>
        <w:rPr>
          <w:rFonts w:hint="eastAsia"/>
          <w:lang w:val="en-US" w:eastAsia="zh-CN"/>
        </w:rPr>
      </w:pPr>
      <w:r>
        <w:rPr>
          <w:rFonts w:hint="eastAsia"/>
          <w:lang w:val="en-US" w:eastAsia="zh-CN"/>
        </w:rPr>
        <w:t>（1）依法依规原则。绩效评价各个环节，充分体现依法依规要求，严格按照规定的管理程序和方法运作。</w:t>
      </w:r>
    </w:p>
    <w:p w14:paraId="679D8E4A">
      <w:pPr>
        <w:bidi w:val="0"/>
        <w:rPr>
          <w:rFonts w:hint="eastAsia"/>
          <w:lang w:val="en-US" w:eastAsia="zh-CN"/>
        </w:rPr>
      </w:pPr>
      <w:r>
        <w:rPr>
          <w:rFonts w:hint="eastAsia"/>
          <w:lang w:val="en-US" w:eastAsia="zh-CN"/>
        </w:rPr>
        <w:t>（2）科学规范原则。落实相关政策文件情况，按照科学可行的要求，采取定性与定量相结合的分析方法，严格遵守规定程序。</w:t>
      </w:r>
    </w:p>
    <w:p w14:paraId="6E5BB70D">
      <w:pPr>
        <w:bidi w:val="0"/>
        <w:rPr>
          <w:rFonts w:hint="eastAsia"/>
          <w:lang w:val="en-US" w:eastAsia="zh-CN"/>
        </w:rPr>
      </w:pPr>
      <w:r>
        <w:rPr>
          <w:rFonts w:hint="eastAsia"/>
          <w:lang w:val="en-US" w:eastAsia="zh-CN"/>
        </w:rPr>
        <w:t>（3）客观公正原则。绩效评价人员本着客观、公正的态度进行项目评价，评价结果依法公开，并接受公众监督。</w:t>
      </w:r>
    </w:p>
    <w:p w14:paraId="6C465E71">
      <w:pPr>
        <w:bidi w:val="0"/>
        <w:rPr>
          <w:rFonts w:hint="eastAsia"/>
          <w:lang w:val="en-US" w:eastAsia="zh-CN"/>
        </w:rPr>
      </w:pPr>
      <w:r>
        <w:rPr>
          <w:rFonts w:hint="eastAsia"/>
          <w:lang w:val="en-US" w:eastAsia="zh-CN"/>
        </w:rPr>
        <w:t>（4）绩效相关原则。在进行绩效评价时，重点关注项目产出情况，包括资金支付与项目实施进度，并对其进行比较，准确反映出二者的关系。</w:t>
      </w:r>
    </w:p>
    <w:p w14:paraId="67BE7821">
      <w:pPr>
        <w:bidi w:val="0"/>
        <w:rPr>
          <w:rFonts w:hint="eastAsia"/>
          <w:lang w:val="en-US" w:eastAsia="zh-CN"/>
        </w:rPr>
      </w:pPr>
      <w:r>
        <w:rPr>
          <w:rFonts w:hint="eastAsia"/>
          <w:lang w:val="en-US" w:eastAsia="zh-CN"/>
        </w:rPr>
        <w:t>（5）激励约束原则。绩效评价结果与预算安排、政策调整、改进管理实质性挂钩，体现奖优罚劣和激励相容导向，有效要安排、低效要压减、无效要问责。</w:t>
      </w:r>
    </w:p>
    <w:p w14:paraId="0592C506">
      <w:pPr>
        <w:bidi w:val="0"/>
        <w:rPr>
          <w:rFonts w:hint="eastAsia"/>
          <w:lang w:val="en-US" w:eastAsia="zh-CN"/>
        </w:rPr>
      </w:pPr>
      <w:r>
        <w:rPr>
          <w:rFonts w:hint="eastAsia"/>
          <w:lang w:val="en-US" w:eastAsia="zh-CN"/>
        </w:rPr>
        <w:t>（6）统筹兼顾。单位自评、部门评价和财政评价应职责明确，各有侧重，相互衔接。单位自评应由项目单位自主实施，即“谁支出、谁自评”。部门评价和财政评价应在单位自评的基础上开展，必要时可委托第三方机构实施。</w:t>
      </w:r>
    </w:p>
    <w:p w14:paraId="06F17360">
      <w:pPr>
        <w:pStyle w:val="7"/>
        <w:bidi w:val="0"/>
        <w:rPr>
          <w:rFonts w:hint="eastAsia"/>
          <w:lang w:val="en-US" w:eastAsia="zh-CN"/>
        </w:rPr>
      </w:pPr>
      <w:bookmarkStart w:id="278" w:name="_Toc8701"/>
      <w:bookmarkStart w:id="279" w:name="_Toc25068"/>
      <w:r>
        <w:rPr>
          <w:rFonts w:hint="eastAsia"/>
          <w:lang w:val="en-US" w:eastAsia="zh-CN"/>
        </w:rPr>
        <w:t>2.评价指标体系</w:t>
      </w:r>
      <w:bookmarkEnd w:id="278"/>
      <w:bookmarkEnd w:id="279"/>
    </w:p>
    <w:p w14:paraId="4542F393">
      <w:pPr>
        <w:bidi w:val="0"/>
        <w:rPr>
          <w:rFonts w:hint="eastAsia"/>
          <w:lang w:val="en-US" w:eastAsia="zh-CN"/>
        </w:rPr>
      </w:pPr>
      <w:r>
        <w:rPr>
          <w:rFonts w:hint="eastAsia"/>
          <w:lang w:val="en-US" w:eastAsia="zh-CN"/>
        </w:rPr>
        <w:t>本次绩效评价指标体系按照《财政部关于印发〈项目支出绩效评价管理办法〉的通知》（财预〔2020〕10号）文件要求设置，由决策、过程、产出、效益4个一级指标。10个二级指标、17个三级指标构成。</w:t>
      </w:r>
    </w:p>
    <w:p w14:paraId="6DD366CD">
      <w:pPr>
        <w:bidi w:val="0"/>
        <w:rPr>
          <w:rFonts w:hint="eastAsia"/>
          <w:lang w:val="en-US" w:eastAsia="zh-CN"/>
        </w:rPr>
      </w:pPr>
      <w:bookmarkStart w:id="280" w:name="_Toc22088"/>
      <w:bookmarkStart w:id="281" w:name="_Toc30170"/>
      <w:r>
        <w:rPr>
          <w:rFonts w:hint="eastAsia"/>
          <w:lang w:val="en-US" w:eastAsia="zh-CN"/>
        </w:rPr>
        <w:t>一级指标为：决策（20分）、过程（20分）、产出（40分）、效益（20分），共计100分。</w:t>
      </w:r>
      <w:bookmarkEnd w:id="280"/>
      <w:bookmarkEnd w:id="281"/>
    </w:p>
    <w:p w14:paraId="43F4EF3A">
      <w:pPr>
        <w:bidi w:val="0"/>
        <w:rPr>
          <w:rFonts w:hint="eastAsia"/>
          <w:lang w:val="en-US" w:eastAsia="zh-CN"/>
        </w:rPr>
      </w:pPr>
      <w:bookmarkStart w:id="282" w:name="_Toc20362"/>
      <w:bookmarkStart w:id="283" w:name="_Toc18413"/>
      <w:r>
        <w:rPr>
          <w:rFonts w:hint="eastAsia"/>
          <w:lang w:val="en-US" w:eastAsia="zh-CN"/>
        </w:rPr>
        <w:t>二级指标为：项目立项（5分）、绩效目标（5分）、资金投入（10分）、资金管理（15分）、组织实施（5分）、产出数量（10分）、产出质量（10分）、产出时效（10分）、产出成本10分、项目效益（20分），共计100分。</w:t>
      </w:r>
      <w:bookmarkEnd w:id="282"/>
      <w:bookmarkEnd w:id="283"/>
    </w:p>
    <w:p w14:paraId="2D114E23">
      <w:pPr>
        <w:bidi w:val="0"/>
        <w:rPr>
          <w:rFonts w:hint="eastAsia"/>
          <w:lang w:val="en-US" w:eastAsia="zh-CN"/>
        </w:rPr>
      </w:pPr>
      <w:bookmarkStart w:id="284" w:name="_Toc29054"/>
      <w:bookmarkStart w:id="285" w:name="_Toc5845"/>
      <w:r>
        <w:rPr>
          <w:rFonts w:hint="eastAsia"/>
          <w:lang w:val="en-US" w:eastAsia="zh-CN"/>
        </w:rPr>
        <w:t>三级指标为：立项依据充分性（3分）、立项程序规范性（2分）、绩效目标合理性（3分）、绩效指标明确性（2分）、预算编制科学性（5分）、资金分配合理性（5分）、资金到位率（5分）、预算执行率（5分）、资金使用合规性（5分）、管理制度健全性（2分）、制度执行有效性（3分）、实际完成率（10分）、质量达标率（10分）、完成及时性（10分）、成本节约率（10分）、实施效益（10分）、服务对象满意度（10分），共计100分。</w:t>
      </w:r>
      <w:bookmarkEnd w:id="284"/>
      <w:bookmarkEnd w:id="285"/>
    </w:p>
    <w:tbl>
      <w:tblPr>
        <w:tblStyle w:val="15"/>
        <w:tblW w:w="5012" w:type="pct"/>
        <w:jc w:val="center"/>
        <w:tblLayout w:type="autofit"/>
        <w:tblCellMar>
          <w:top w:w="0" w:type="dxa"/>
          <w:left w:w="0" w:type="dxa"/>
          <w:bottom w:w="0" w:type="dxa"/>
          <w:right w:w="0" w:type="dxa"/>
        </w:tblCellMar>
      </w:tblPr>
      <w:tblGrid>
        <w:gridCol w:w="1915"/>
        <w:gridCol w:w="2579"/>
        <w:gridCol w:w="3007"/>
        <w:gridCol w:w="835"/>
      </w:tblGrid>
      <w:tr w14:paraId="5FF24B0C">
        <w:tblPrEx>
          <w:tblCellMar>
            <w:top w:w="0" w:type="dxa"/>
            <w:left w:w="0" w:type="dxa"/>
            <w:bottom w:w="0" w:type="dxa"/>
            <w:right w:w="0" w:type="dxa"/>
          </w:tblCellMar>
        </w:tblPrEx>
        <w:trPr>
          <w:trHeight w:val="40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3FD2E7">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A98D4D">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2C4DC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D2AB67">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分值</w:t>
            </w:r>
          </w:p>
        </w:tc>
      </w:tr>
      <w:tr w14:paraId="126C0B9B">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E0D6AE">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决策（20分）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49E830">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项目立项（5分）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19EAA9">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立项依据充分性（3分）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F7CD2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r>
      <w:tr w14:paraId="32C05FC4">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B945F5">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FC98CB">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5BEDF9">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立项程序规范性（2分）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4CBFCE">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r>
      <w:tr w14:paraId="5BA00923">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54126A">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808CA0">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绩效目标（5分）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51C6AB">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绩效目标</w:t>
            </w:r>
            <w:r>
              <w:rPr>
                <w:rFonts w:hint="eastAsia" w:ascii="方正仿宋_GBK" w:hAnsi="方正仿宋_GBK" w:eastAsia="方正仿宋_GBK" w:cs="方正仿宋_GBK"/>
                <w:sz w:val="24"/>
                <w:szCs w:val="24"/>
                <w:lang w:eastAsia="zh-CN"/>
              </w:rPr>
              <w:t>合理性</w:t>
            </w:r>
            <w:r>
              <w:rPr>
                <w:rFonts w:hint="eastAsia" w:ascii="方正仿宋_GBK" w:hAnsi="方正仿宋_GBK" w:eastAsia="方正仿宋_GBK" w:cs="方正仿宋_GBK"/>
                <w:sz w:val="24"/>
                <w:szCs w:val="24"/>
              </w:rPr>
              <w:t>（3分）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FF0BAF">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r>
      <w:tr w14:paraId="18643658">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6F5FD1">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6324B8">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CF6085">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绩效指标</w:t>
            </w:r>
            <w:r>
              <w:rPr>
                <w:rFonts w:hint="eastAsia" w:ascii="方正仿宋_GBK" w:hAnsi="方正仿宋_GBK" w:eastAsia="方正仿宋_GBK" w:cs="方正仿宋_GBK"/>
                <w:sz w:val="24"/>
                <w:szCs w:val="24"/>
                <w:lang w:eastAsia="zh-CN"/>
              </w:rPr>
              <w:t>明确性</w:t>
            </w:r>
            <w:r>
              <w:rPr>
                <w:rFonts w:hint="eastAsia" w:ascii="方正仿宋_GBK" w:hAnsi="方正仿宋_GBK" w:eastAsia="方正仿宋_GBK" w:cs="方正仿宋_GBK"/>
                <w:sz w:val="24"/>
                <w:szCs w:val="24"/>
              </w:rPr>
              <w:t>（2分）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11CBD3">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r>
      <w:tr w14:paraId="07E75021">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6A8ED8">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D95CF6">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资金投入（10分）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FED060">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预算编制</w:t>
            </w:r>
            <w:r>
              <w:rPr>
                <w:rFonts w:hint="eastAsia" w:ascii="方正仿宋_GBK" w:hAnsi="方正仿宋_GBK" w:eastAsia="方正仿宋_GBK" w:cs="方正仿宋_GBK"/>
                <w:sz w:val="24"/>
                <w:szCs w:val="24"/>
                <w:lang w:eastAsia="zh-CN"/>
              </w:rPr>
              <w:t>科学性</w:t>
            </w:r>
            <w:r>
              <w:rPr>
                <w:rFonts w:hint="eastAsia" w:ascii="方正仿宋_GBK" w:hAnsi="方正仿宋_GBK" w:eastAsia="方正仿宋_GBK" w:cs="方正仿宋_GBK"/>
                <w:sz w:val="24"/>
                <w:szCs w:val="24"/>
              </w:rPr>
              <w:t>（5分）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3A88A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r>
      <w:tr w14:paraId="0AD888D0">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67E1A2">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414831">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304600">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资金分配合理性（5分）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8DDE2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r>
      <w:tr w14:paraId="79C90C8A">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8FE2F5">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过程（20分）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CC5807">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资金管理（15分）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96D8AD">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资金到位率（5分）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CC1FCE">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r>
      <w:tr w14:paraId="677E8490">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9E8D91">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5C23BF">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934025">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预算执行率（5分）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BE2CEE">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r>
      <w:tr w14:paraId="68E0ECC7">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9937DD">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58FF65">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8065A0">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资金使用合规性（5分）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0532A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r>
      <w:tr w14:paraId="7A26C972">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71AA07">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FC2E9C">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组织实施（5分）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8F8770">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管理制度健全性（2分）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B35393">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r>
      <w:tr w14:paraId="2B8ABADF">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4DE2C9A">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2C7030">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E58088">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制度执行</w:t>
            </w:r>
            <w:r>
              <w:rPr>
                <w:rFonts w:hint="eastAsia" w:ascii="方正仿宋_GBK" w:hAnsi="方正仿宋_GBK" w:eastAsia="方正仿宋_GBK" w:cs="方正仿宋_GBK"/>
                <w:sz w:val="24"/>
                <w:szCs w:val="24"/>
                <w:lang w:eastAsia="zh-CN"/>
              </w:rPr>
              <w:t>有效性</w:t>
            </w:r>
            <w:r>
              <w:rPr>
                <w:rFonts w:hint="eastAsia" w:ascii="方正仿宋_GBK" w:hAnsi="方正仿宋_GBK" w:eastAsia="方正仿宋_GBK" w:cs="方正仿宋_GBK"/>
                <w:sz w:val="24"/>
                <w:szCs w:val="24"/>
              </w:rPr>
              <w:t>（3分）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D9B088">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r>
      <w:tr w14:paraId="73BB0943">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right w:val="single" w:color="000000" w:sz="4" w:space="0"/>
            </w:tcBorders>
            <w:shd w:val="clear" w:color="auto" w:fill="FFFFFF"/>
            <w:vAlign w:val="center"/>
          </w:tcPr>
          <w:p w14:paraId="6AA194B0">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产出（40分）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D09AEB">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产出数量（</w:t>
            </w: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77ABB2">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实际完成率（</w:t>
            </w: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A9CA5B">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0</w:t>
            </w:r>
          </w:p>
        </w:tc>
      </w:tr>
      <w:tr w14:paraId="3104E440">
        <w:tblPrEx>
          <w:tblCellMar>
            <w:top w:w="0" w:type="dxa"/>
            <w:left w:w="0" w:type="dxa"/>
            <w:bottom w:w="0" w:type="dxa"/>
            <w:right w:w="0" w:type="dxa"/>
          </w:tblCellMar>
        </w:tblPrEx>
        <w:trPr>
          <w:trHeight w:val="400" w:hRule="atLeast"/>
          <w:jc w:val="center"/>
        </w:trPr>
        <w:tc>
          <w:tcPr>
            <w:tcW w:w="0" w:type="auto"/>
            <w:vMerge w:val="continue"/>
            <w:tcBorders>
              <w:left w:val="single" w:color="000000" w:sz="4" w:space="0"/>
              <w:right w:val="single" w:color="000000" w:sz="4" w:space="0"/>
            </w:tcBorders>
            <w:vAlign w:val="center"/>
          </w:tcPr>
          <w:p w14:paraId="55DFB9CF">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8D65DA">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产出质量（10分）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ACA0E1">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质量达标率（10分）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5621CD">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r>
      <w:tr w14:paraId="166F4689">
        <w:tblPrEx>
          <w:tblCellMar>
            <w:top w:w="0" w:type="dxa"/>
            <w:left w:w="0" w:type="dxa"/>
            <w:bottom w:w="0" w:type="dxa"/>
            <w:right w:w="0" w:type="dxa"/>
          </w:tblCellMar>
        </w:tblPrEx>
        <w:trPr>
          <w:trHeight w:val="400" w:hRule="atLeast"/>
          <w:jc w:val="center"/>
        </w:trPr>
        <w:tc>
          <w:tcPr>
            <w:tcW w:w="0" w:type="auto"/>
            <w:vMerge w:val="continue"/>
            <w:tcBorders>
              <w:left w:val="single" w:color="000000" w:sz="4" w:space="0"/>
              <w:right w:val="single" w:color="000000" w:sz="4" w:space="0"/>
            </w:tcBorders>
            <w:vAlign w:val="center"/>
          </w:tcPr>
          <w:p w14:paraId="0C211874">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362E6A">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产出时效（10分）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58E6C0">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完成及时性（10分）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217AC5">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r>
      <w:tr w14:paraId="45487954">
        <w:tblPrEx>
          <w:tblCellMar>
            <w:top w:w="0" w:type="dxa"/>
            <w:left w:w="0" w:type="dxa"/>
            <w:bottom w:w="0" w:type="dxa"/>
            <w:right w:w="0" w:type="dxa"/>
          </w:tblCellMar>
        </w:tblPrEx>
        <w:trPr>
          <w:trHeight w:val="400" w:hRule="atLeast"/>
          <w:jc w:val="center"/>
        </w:trPr>
        <w:tc>
          <w:tcPr>
            <w:tcW w:w="0" w:type="auto"/>
            <w:vMerge w:val="continue"/>
            <w:tcBorders>
              <w:left w:val="single" w:color="000000" w:sz="4" w:space="0"/>
              <w:bottom w:val="single" w:color="000000" w:sz="4" w:space="0"/>
              <w:right w:val="single" w:color="000000" w:sz="4" w:space="0"/>
            </w:tcBorders>
            <w:vAlign w:val="center"/>
          </w:tcPr>
          <w:p w14:paraId="1EA73D54">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174F60">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产出成本（</w:t>
            </w:r>
            <w:r>
              <w:rPr>
                <w:rFonts w:hint="eastAsia" w:ascii="方正仿宋_GBK" w:hAnsi="方正仿宋_GBK" w:eastAsia="方正仿宋_GBK" w:cs="方正仿宋_GBK"/>
                <w:sz w:val="24"/>
                <w:szCs w:val="24"/>
                <w:lang w:val="en-US" w:eastAsia="zh-CN"/>
              </w:rPr>
              <w:t>10分</w:t>
            </w:r>
            <w:r>
              <w:rPr>
                <w:rFonts w:hint="eastAsia" w:ascii="方正仿宋_GBK" w:hAnsi="方正仿宋_GBK" w:eastAsia="方正仿宋_GBK" w:cs="方正仿宋_GBK"/>
                <w:sz w:val="24"/>
                <w:szCs w:val="24"/>
                <w:lang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22023A">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8"/>
                <w:szCs w:val="28"/>
              </w:rPr>
              <w:t>成本节约率（10分）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F094ED">
            <w:pPr>
              <w:pStyle w:val="30"/>
              <w:keepNext w:val="0"/>
              <w:keepLines w:val="0"/>
              <w:suppressLineNumbers w:val="0"/>
              <w:spacing w:beforeAutospacing="0" w:afterAutospacing="0"/>
              <w:ind w:left="2" w:right="2" w:firstLine="163"/>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10</w:t>
            </w:r>
          </w:p>
        </w:tc>
      </w:tr>
      <w:tr w14:paraId="79052C60">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FCB38F">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效益（20分）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3A8D77">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项目效益（20分）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DA1F65">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实施效益（10分）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7B4BDD">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r>
      <w:tr w14:paraId="23191034">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07383A">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B83A13">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344B89">
            <w:pPr>
              <w:pStyle w:val="30"/>
              <w:keepNext w:val="0"/>
              <w:keepLines w:val="0"/>
              <w:suppressLineNumbers w:val="0"/>
              <w:spacing w:beforeAutospacing="0" w:afterAutospacing="0"/>
              <w:ind w:left="0" w:leftChars="0" w:right="2" w:firstLine="0" w:firstLineChars="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满意度（10分）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743588">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r>
      <w:tr w14:paraId="48963F77">
        <w:tblPrEx>
          <w:tblCellMar>
            <w:top w:w="0" w:type="dxa"/>
            <w:left w:w="0" w:type="dxa"/>
            <w:bottom w:w="0" w:type="dxa"/>
            <w:right w:w="0" w:type="dxa"/>
          </w:tblCellMar>
        </w:tblPrEx>
        <w:trPr>
          <w:trHeight w:val="400"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011C95A">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9B79C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w:t>
            </w:r>
          </w:p>
        </w:tc>
      </w:tr>
    </w:tbl>
    <w:p w14:paraId="5DBD9F54">
      <w:pPr>
        <w:pStyle w:val="7"/>
        <w:bidi w:val="0"/>
        <w:rPr>
          <w:rFonts w:hint="eastAsia"/>
          <w:lang w:val="en-US" w:eastAsia="zh-CN"/>
        </w:rPr>
      </w:pPr>
      <w:bookmarkStart w:id="286" w:name="_Toc1877"/>
      <w:bookmarkStart w:id="287" w:name="_Toc31037"/>
      <w:r>
        <w:rPr>
          <w:rFonts w:hint="eastAsia"/>
          <w:lang w:val="en-US" w:eastAsia="zh-CN"/>
        </w:rPr>
        <w:t>3.绩效评价方法</w:t>
      </w:r>
      <w:bookmarkEnd w:id="286"/>
      <w:bookmarkEnd w:id="287"/>
    </w:p>
    <w:p w14:paraId="1BFB566A">
      <w:pPr>
        <w:bidi w:val="0"/>
        <w:rPr>
          <w:rFonts w:hint="eastAsia"/>
          <w:lang w:val="en-US" w:eastAsia="zh-CN"/>
        </w:rPr>
      </w:pPr>
      <w:r>
        <w:rPr>
          <w:rFonts w:hint="eastAsia"/>
          <w:lang w:val="en-US" w:eastAsia="zh-CN"/>
        </w:rPr>
        <w:t>本次评价的方法按照《财政部关于印发〈项目支出绩效评价管理办法〉的通知》（财预〔2020〕10号）要求，主要采取比较法和调查法。一是比较法。对项目支出情况及建设后的产出及效果与项目实施计划目标进行比较，分析预计目标的完成程度。二是调查法（包括抽样调查、现场调查和问卷调查）。抽样调查是从评价项目中，抽取一部分内容进行实地考察和分析，并根据这部分内容的特征去推断项目全部的特征。现场调查是通过现场抽查、询问等方法，对项目效益等指标进行复核性评价。问卷调查是针对项目区利益相关方实施的调查，并对调查结果进行统计、分析和评定。</w:t>
      </w:r>
    </w:p>
    <w:bookmarkEnd w:id="269"/>
    <w:bookmarkEnd w:id="270"/>
    <w:p w14:paraId="293AD4E9">
      <w:pPr>
        <w:pStyle w:val="7"/>
        <w:bidi w:val="0"/>
        <w:rPr>
          <w:rFonts w:hint="eastAsia"/>
          <w:lang w:val="en-US" w:eastAsia="zh-CN"/>
        </w:rPr>
      </w:pPr>
      <w:bookmarkStart w:id="288" w:name="_Toc9682"/>
      <w:bookmarkStart w:id="289" w:name="_Toc21253"/>
      <w:bookmarkStart w:id="290" w:name="_Toc242"/>
      <w:bookmarkStart w:id="291" w:name="_Toc10700"/>
      <w:bookmarkStart w:id="292" w:name="_Toc6819"/>
      <w:r>
        <w:rPr>
          <w:rFonts w:hint="eastAsia"/>
          <w:lang w:val="en-US" w:eastAsia="zh-CN"/>
        </w:rPr>
        <w:t>4.评价标准</w:t>
      </w:r>
    </w:p>
    <w:p w14:paraId="095DE251">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绩效评价标准通常包括计划标准、行业标准、历史标准等。本次绩效评价采用计划标准，以预先制定的目标、计划、预算、定额等作为评价标准，对比分析项目产出、效益的完成情况。</w:t>
      </w:r>
    </w:p>
    <w:p w14:paraId="6F4098F7">
      <w:pPr>
        <w:pStyle w:val="6"/>
        <w:bidi w:val="0"/>
        <w:rPr>
          <w:rFonts w:hint="eastAsia"/>
          <w:lang w:val="en-US" w:eastAsia="zh-CN"/>
        </w:rPr>
      </w:pPr>
      <w:bookmarkStart w:id="293" w:name="_Toc12632"/>
      <w:bookmarkStart w:id="294" w:name="_Toc26533"/>
      <w:bookmarkStart w:id="295" w:name="_Toc6130"/>
      <w:bookmarkStart w:id="296" w:name="_Toc6746"/>
      <w:bookmarkStart w:id="297" w:name="_Toc22622"/>
      <w:bookmarkStart w:id="298" w:name="_Toc5337"/>
      <w:bookmarkStart w:id="299" w:name="_Toc17061"/>
      <w:bookmarkStart w:id="300" w:name="_Toc582"/>
      <w:r>
        <w:rPr>
          <w:rFonts w:hint="eastAsia"/>
          <w:lang w:val="en-US" w:eastAsia="zh-CN"/>
        </w:rPr>
        <w:t>（三）绩效评价工作过程</w:t>
      </w:r>
      <w:bookmarkEnd w:id="293"/>
      <w:bookmarkEnd w:id="294"/>
      <w:bookmarkEnd w:id="295"/>
      <w:bookmarkEnd w:id="296"/>
      <w:bookmarkEnd w:id="297"/>
      <w:bookmarkEnd w:id="298"/>
      <w:bookmarkEnd w:id="299"/>
      <w:bookmarkEnd w:id="300"/>
    </w:p>
    <w:p w14:paraId="6E012115">
      <w:pPr>
        <w:pStyle w:val="7"/>
        <w:bidi w:val="0"/>
        <w:rPr>
          <w:rFonts w:hint="eastAsia"/>
          <w:lang w:val="en-US" w:eastAsia="zh-CN"/>
        </w:rPr>
      </w:pPr>
      <w:bookmarkStart w:id="301" w:name="_Toc23699"/>
      <w:bookmarkStart w:id="302" w:name="_Toc10476"/>
      <w:r>
        <w:rPr>
          <w:rFonts w:hint="eastAsia"/>
          <w:lang w:val="en-US" w:eastAsia="zh-CN"/>
        </w:rPr>
        <w:t>第一阶段：前期准备。</w:t>
      </w:r>
      <w:bookmarkEnd w:id="301"/>
      <w:bookmarkEnd w:id="302"/>
    </w:p>
    <w:p w14:paraId="6B8AA562">
      <w:pPr>
        <w:bidi w:val="0"/>
        <w:rPr>
          <w:rFonts w:hint="eastAsia"/>
          <w:lang w:eastAsia="zh-CN"/>
        </w:rPr>
      </w:pPr>
      <w:r>
        <w:rPr>
          <w:rFonts w:hint="eastAsia"/>
          <w:lang w:val="en-US" w:eastAsia="zh-CN"/>
        </w:rPr>
        <w:t>新疆鸿晟达信息咨询有限公司作为专业第三方机构，承担该项目评价职责，成立绩效评价工作小组，</w:t>
      </w:r>
      <w:r>
        <w:rPr>
          <w:rFonts w:hint="eastAsia"/>
          <w:lang w:eastAsia="zh-CN"/>
        </w:rPr>
        <w:t>组长：</w:t>
      </w:r>
      <w:r>
        <w:rPr>
          <w:rFonts w:hint="eastAsia"/>
          <w:lang w:val="en-US" w:eastAsia="zh-CN"/>
        </w:rPr>
        <w:t>周杨</w:t>
      </w:r>
      <w:r>
        <w:rPr>
          <w:rFonts w:hint="eastAsia"/>
          <w:lang w:eastAsia="zh-CN"/>
        </w:rPr>
        <w:t>，副组长：胡超，成员：</w:t>
      </w:r>
      <w:r>
        <w:rPr>
          <w:rFonts w:hint="eastAsia"/>
          <w:lang w:val="en-US" w:eastAsia="zh-CN"/>
        </w:rPr>
        <w:t>迪娜克孜、</w:t>
      </w:r>
      <w:r>
        <w:rPr>
          <w:rFonts w:hint="eastAsia"/>
          <w:lang w:eastAsia="zh-CN"/>
        </w:rPr>
        <w:t>赵秀娟、蒋艳，按绩效评价工作程序开展绩效评价工作。具体分工如下：</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117"/>
        <w:gridCol w:w="2309"/>
        <w:gridCol w:w="2759"/>
        <w:gridCol w:w="1513"/>
      </w:tblGrid>
      <w:tr w14:paraId="2E11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shd w:val="clear" w:color="auto" w:fill="CFCECE"/>
            <w:noWrap w:val="0"/>
            <w:vAlign w:val="top"/>
          </w:tcPr>
          <w:p w14:paraId="2707C8D6">
            <w:pPr>
              <w:keepNext w:val="0"/>
              <w:keepLines w:val="0"/>
              <w:suppressLineNumbers w:val="0"/>
              <w:spacing w:before="0" w:beforeAutospacing="0" w:after="0" w:afterAutospacing="0"/>
              <w:ind w:left="0" w:leftChars="0" w:right="0" w:rightChars="0" w:firstLine="0" w:firstLineChars="0"/>
              <w:jc w:val="both"/>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序号</w:t>
            </w:r>
          </w:p>
        </w:tc>
        <w:tc>
          <w:tcPr>
            <w:tcW w:w="1117" w:type="dxa"/>
            <w:shd w:val="clear" w:color="auto" w:fill="CFCECE"/>
            <w:noWrap w:val="0"/>
            <w:vAlign w:val="top"/>
          </w:tcPr>
          <w:p w14:paraId="7D2CD46C">
            <w:pPr>
              <w:keepNext w:val="0"/>
              <w:keepLines w:val="0"/>
              <w:suppressLineNumbers w:val="0"/>
              <w:spacing w:before="0" w:beforeAutospacing="0" w:after="0" w:afterAutospacing="0"/>
              <w:ind w:left="0" w:leftChars="0" w:right="0" w:rightChars="0" w:firstLine="0" w:firstLineChars="0"/>
              <w:jc w:val="center"/>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姓名</w:t>
            </w:r>
          </w:p>
        </w:tc>
        <w:tc>
          <w:tcPr>
            <w:tcW w:w="2309" w:type="dxa"/>
            <w:shd w:val="clear" w:color="auto" w:fill="CFCECE"/>
            <w:noWrap w:val="0"/>
            <w:vAlign w:val="top"/>
          </w:tcPr>
          <w:p w14:paraId="7ED529C4">
            <w:pPr>
              <w:keepNext w:val="0"/>
              <w:keepLines w:val="0"/>
              <w:suppressLineNumbers w:val="0"/>
              <w:spacing w:before="0" w:beforeAutospacing="0" w:after="0" w:afterAutospacing="0"/>
              <w:ind w:left="0" w:leftChars="0" w:right="0" w:rightChars="0" w:firstLine="0" w:firstLineChars="0"/>
              <w:jc w:val="center"/>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职务</w:t>
            </w:r>
          </w:p>
        </w:tc>
        <w:tc>
          <w:tcPr>
            <w:tcW w:w="2759" w:type="dxa"/>
            <w:shd w:val="clear" w:color="auto" w:fill="CFCECE"/>
            <w:noWrap w:val="0"/>
            <w:vAlign w:val="top"/>
          </w:tcPr>
          <w:p w14:paraId="762AA826">
            <w:pPr>
              <w:keepNext w:val="0"/>
              <w:keepLines w:val="0"/>
              <w:suppressLineNumbers w:val="0"/>
              <w:spacing w:before="0" w:beforeAutospacing="0" w:after="0" w:afterAutospacing="0"/>
              <w:ind w:left="0" w:leftChars="0" w:right="0" w:rightChars="0" w:firstLine="0" w:firstLineChars="0"/>
              <w:jc w:val="center"/>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责任分工</w:t>
            </w:r>
          </w:p>
        </w:tc>
        <w:tc>
          <w:tcPr>
            <w:tcW w:w="1513" w:type="dxa"/>
            <w:shd w:val="clear" w:color="auto" w:fill="CFCECE"/>
            <w:noWrap w:val="0"/>
            <w:vAlign w:val="top"/>
          </w:tcPr>
          <w:p w14:paraId="564BCE3E">
            <w:pPr>
              <w:keepNext w:val="0"/>
              <w:keepLines w:val="0"/>
              <w:suppressLineNumbers w:val="0"/>
              <w:spacing w:before="0" w:beforeAutospacing="0" w:after="0" w:afterAutospacing="0"/>
              <w:ind w:left="0" w:leftChars="0" w:right="0" w:rightChars="0" w:firstLine="0" w:firstLineChars="0"/>
              <w:jc w:val="center"/>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联系电话</w:t>
            </w:r>
          </w:p>
        </w:tc>
      </w:tr>
      <w:tr w14:paraId="57DC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78" w:type="dxa"/>
            <w:noWrap w:val="0"/>
            <w:vAlign w:val="top"/>
          </w:tcPr>
          <w:p w14:paraId="759A0461">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w:t>
            </w:r>
          </w:p>
        </w:tc>
        <w:tc>
          <w:tcPr>
            <w:tcW w:w="1117" w:type="dxa"/>
            <w:noWrap w:val="0"/>
            <w:vAlign w:val="top"/>
          </w:tcPr>
          <w:p w14:paraId="330A8F2F">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val="en-US" w:eastAsia="zh-CN"/>
              </w:rPr>
              <w:t>周杨</w:t>
            </w:r>
          </w:p>
        </w:tc>
        <w:tc>
          <w:tcPr>
            <w:tcW w:w="2309" w:type="dxa"/>
            <w:noWrap w:val="0"/>
            <w:vAlign w:val="top"/>
          </w:tcPr>
          <w:p w14:paraId="3C9E6A2E">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评价终审（</w:t>
            </w:r>
            <w:r>
              <w:rPr>
                <w:rFonts w:hint="eastAsia" w:ascii="仿宋" w:hAnsi="仿宋" w:eastAsia="仿宋" w:cs="仿宋"/>
                <w:color w:val="auto"/>
                <w:sz w:val="20"/>
                <w:szCs w:val="22"/>
                <w:vertAlign w:val="baseline"/>
                <w:lang w:val="en-US" w:eastAsia="zh-CN"/>
              </w:rPr>
              <w:t>中级会计师</w:t>
            </w:r>
            <w:r>
              <w:rPr>
                <w:rFonts w:hint="eastAsia" w:ascii="仿宋" w:hAnsi="仿宋" w:eastAsia="仿宋" w:cs="仿宋"/>
                <w:color w:val="auto"/>
                <w:sz w:val="20"/>
                <w:szCs w:val="22"/>
                <w:vertAlign w:val="baseline"/>
                <w:lang w:eastAsia="zh-CN"/>
              </w:rPr>
              <w:t>）</w:t>
            </w:r>
          </w:p>
        </w:tc>
        <w:tc>
          <w:tcPr>
            <w:tcW w:w="2759" w:type="dxa"/>
            <w:noWrap w:val="0"/>
            <w:vAlign w:val="top"/>
          </w:tcPr>
          <w:p w14:paraId="2288A050">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终审把关评价报告</w:t>
            </w:r>
          </w:p>
        </w:tc>
        <w:tc>
          <w:tcPr>
            <w:tcW w:w="1513" w:type="dxa"/>
            <w:noWrap w:val="0"/>
            <w:vAlign w:val="top"/>
          </w:tcPr>
          <w:p w14:paraId="364734E4">
            <w:pPr>
              <w:keepNext w:val="0"/>
              <w:keepLines w:val="0"/>
              <w:suppressLineNumbers w:val="0"/>
              <w:spacing w:before="0" w:beforeAutospacing="0" w:after="0" w:afterAutospacing="0" w:line="240" w:lineRule="auto"/>
              <w:ind w:left="0" w:leftChars="0" w:right="0" w:rightChars="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18299661021</w:t>
            </w:r>
          </w:p>
        </w:tc>
      </w:tr>
      <w:tr w14:paraId="4387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8" w:type="dxa"/>
            <w:noWrap w:val="0"/>
            <w:vAlign w:val="top"/>
          </w:tcPr>
          <w:p w14:paraId="7EA26849">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kern w:val="2"/>
                <w:sz w:val="20"/>
                <w:szCs w:val="22"/>
                <w:vertAlign w:val="baseline"/>
                <w:lang w:val="en-US" w:eastAsia="zh-CN" w:bidi="ar-SA"/>
              </w:rPr>
              <w:t>2</w:t>
            </w:r>
          </w:p>
        </w:tc>
        <w:tc>
          <w:tcPr>
            <w:tcW w:w="1117" w:type="dxa"/>
            <w:noWrap w:val="0"/>
            <w:vAlign w:val="top"/>
          </w:tcPr>
          <w:p w14:paraId="3C6953CA">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sz w:val="20"/>
                <w:szCs w:val="22"/>
                <w:vertAlign w:val="baseline"/>
                <w:lang w:eastAsia="zh-CN"/>
              </w:rPr>
              <w:t>胡超</w:t>
            </w:r>
          </w:p>
        </w:tc>
        <w:tc>
          <w:tcPr>
            <w:tcW w:w="2309" w:type="dxa"/>
            <w:noWrap w:val="0"/>
            <w:vAlign w:val="top"/>
          </w:tcPr>
          <w:p w14:paraId="289958AB">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项目组长</w:t>
            </w:r>
          </w:p>
        </w:tc>
        <w:tc>
          <w:tcPr>
            <w:tcW w:w="2759" w:type="dxa"/>
            <w:noWrap w:val="0"/>
            <w:vAlign w:val="top"/>
          </w:tcPr>
          <w:p w14:paraId="3B86F56F">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复核评价报告及工作资料</w:t>
            </w:r>
          </w:p>
        </w:tc>
        <w:tc>
          <w:tcPr>
            <w:tcW w:w="1513" w:type="dxa"/>
            <w:noWrap w:val="0"/>
            <w:vAlign w:val="top"/>
          </w:tcPr>
          <w:p w14:paraId="2AD9F61A">
            <w:pPr>
              <w:keepNext w:val="0"/>
              <w:keepLines w:val="0"/>
              <w:suppressLineNumbers w:val="0"/>
              <w:spacing w:before="0" w:beforeAutospacing="0" w:after="0" w:afterAutospacing="0" w:line="240" w:lineRule="auto"/>
              <w:ind w:left="0" w:leftChars="0" w:right="0" w:rightChars="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18399127771</w:t>
            </w:r>
          </w:p>
        </w:tc>
      </w:tr>
      <w:tr w14:paraId="0661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75FE45D2">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kern w:val="2"/>
                <w:sz w:val="16"/>
                <w:szCs w:val="20"/>
                <w:vertAlign w:val="baseline"/>
                <w:lang w:val="en-US" w:eastAsia="zh-CN" w:bidi="ar-SA"/>
              </w:rPr>
              <w:t>3</w:t>
            </w:r>
          </w:p>
        </w:tc>
        <w:tc>
          <w:tcPr>
            <w:tcW w:w="1117" w:type="dxa"/>
            <w:noWrap w:val="0"/>
            <w:vAlign w:val="top"/>
          </w:tcPr>
          <w:p w14:paraId="53F0CE57">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sz w:val="20"/>
                <w:szCs w:val="22"/>
                <w:vertAlign w:val="baseline"/>
                <w:lang w:eastAsia="zh-CN"/>
              </w:rPr>
              <w:t>迪娜克孜</w:t>
            </w:r>
          </w:p>
        </w:tc>
        <w:tc>
          <w:tcPr>
            <w:tcW w:w="2309" w:type="dxa"/>
            <w:noWrap w:val="0"/>
            <w:vAlign w:val="top"/>
          </w:tcPr>
          <w:p w14:paraId="3FFC9F3E">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项目助理</w:t>
            </w:r>
          </w:p>
        </w:tc>
        <w:tc>
          <w:tcPr>
            <w:tcW w:w="2759" w:type="dxa"/>
            <w:noWrap w:val="0"/>
            <w:vAlign w:val="top"/>
          </w:tcPr>
          <w:p w14:paraId="1BEFC391">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搜集项目资料，审核项目，撰写报告。</w:t>
            </w:r>
          </w:p>
        </w:tc>
        <w:tc>
          <w:tcPr>
            <w:tcW w:w="1513" w:type="dxa"/>
            <w:noWrap w:val="0"/>
            <w:vAlign w:val="top"/>
          </w:tcPr>
          <w:p w14:paraId="40E1115F">
            <w:pPr>
              <w:keepNext w:val="0"/>
              <w:keepLines w:val="0"/>
              <w:suppressLineNumbers w:val="0"/>
              <w:spacing w:before="0" w:beforeAutospacing="0" w:after="0" w:afterAutospacing="0" w:line="240" w:lineRule="auto"/>
              <w:ind w:left="0" w:leftChars="0" w:right="0" w:rightChars="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13899884709</w:t>
            </w:r>
          </w:p>
        </w:tc>
      </w:tr>
      <w:tr w14:paraId="38F5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57ADEDAE">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kern w:val="2"/>
                <w:sz w:val="20"/>
                <w:szCs w:val="22"/>
                <w:vertAlign w:val="baseline"/>
                <w:lang w:val="en-US" w:eastAsia="zh-CN" w:bidi="ar-SA"/>
              </w:rPr>
              <w:t>4</w:t>
            </w:r>
          </w:p>
        </w:tc>
        <w:tc>
          <w:tcPr>
            <w:tcW w:w="1117" w:type="dxa"/>
            <w:noWrap w:val="0"/>
            <w:vAlign w:val="top"/>
          </w:tcPr>
          <w:p w14:paraId="446FCE6C">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sz w:val="20"/>
                <w:szCs w:val="22"/>
                <w:vertAlign w:val="baseline"/>
                <w:lang w:eastAsia="zh-CN"/>
              </w:rPr>
              <w:t>赵秀娟</w:t>
            </w:r>
          </w:p>
        </w:tc>
        <w:tc>
          <w:tcPr>
            <w:tcW w:w="2309" w:type="dxa"/>
            <w:noWrap w:val="0"/>
            <w:vAlign w:val="top"/>
          </w:tcPr>
          <w:p w14:paraId="468D6A41">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rPr>
            </w:pPr>
            <w:r>
              <w:rPr>
                <w:rFonts w:hint="eastAsia" w:ascii="仿宋" w:hAnsi="仿宋" w:eastAsia="仿宋" w:cs="仿宋"/>
                <w:color w:val="auto"/>
                <w:sz w:val="20"/>
                <w:szCs w:val="22"/>
                <w:vertAlign w:val="baseline"/>
                <w:lang w:eastAsia="zh-CN"/>
              </w:rPr>
              <w:t>项目助理</w:t>
            </w:r>
          </w:p>
        </w:tc>
        <w:tc>
          <w:tcPr>
            <w:tcW w:w="2759" w:type="dxa"/>
            <w:noWrap w:val="0"/>
            <w:vAlign w:val="top"/>
          </w:tcPr>
          <w:p w14:paraId="33D0F245">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搜集项目资料，审核项目，撰写报告。</w:t>
            </w:r>
          </w:p>
        </w:tc>
        <w:tc>
          <w:tcPr>
            <w:tcW w:w="1513" w:type="dxa"/>
            <w:noWrap w:val="0"/>
            <w:vAlign w:val="top"/>
          </w:tcPr>
          <w:p w14:paraId="7D6D9975">
            <w:pPr>
              <w:keepNext w:val="0"/>
              <w:keepLines w:val="0"/>
              <w:suppressLineNumbers w:val="0"/>
              <w:spacing w:before="0" w:beforeAutospacing="0" w:after="0" w:afterAutospacing="0" w:line="240" w:lineRule="auto"/>
              <w:ind w:left="0" w:leftChars="0" w:right="0" w:rightChars="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18399621218</w:t>
            </w:r>
          </w:p>
        </w:tc>
      </w:tr>
      <w:tr w14:paraId="7B8B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7A3CC0DD">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kern w:val="2"/>
                <w:sz w:val="20"/>
                <w:szCs w:val="22"/>
                <w:vertAlign w:val="baseline"/>
                <w:lang w:val="en-US" w:eastAsia="zh-CN" w:bidi="ar-SA"/>
              </w:rPr>
              <w:t>5</w:t>
            </w:r>
          </w:p>
        </w:tc>
        <w:tc>
          <w:tcPr>
            <w:tcW w:w="1117" w:type="dxa"/>
            <w:noWrap w:val="0"/>
            <w:vAlign w:val="top"/>
          </w:tcPr>
          <w:p w14:paraId="440C04F3">
            <w:pPr>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sz w:val="20"/>
                <w:szCs w:val="22"/>
                <w:vertAlign w:val="baseline"/>
                <w:lang w:eastAsia="zh-CN"/>
              </w:rPr>
              <w:t>蒋艳</w:t>
            </w:r>
          </w:p>
        </w:tc>
        <w:tc>
          <w:tcPr>
            <w:tcW w:w="2309" w:type="dxa"/>
            <w:noWrap w:val="0"/>
            <w:vAlign w:val="top"/>
          </w:tcPr>
          <w:p w14:paraId="1F6B07A4">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rPr>
            </w:pPr>
            <w:r>
              <w:rPr>
                <w:rFonts w:hint="eastAsia" w:ascii="仿宋" w:hAnsi="仿宋" w:eastAsia="仿宋" w:cs="仿宋"/>
                <w:color w:val="auto"/>
                <w:sz w:val="20"/>
                <w:szCs w:val="22"/>
                <w:vertAlign w:val="baseline"/>
                <w:lang w:eastAsia="zh-CN"/>
              </w:rPr>
              <w:t>项目助理</w:t>
            </w:r>
          </w:p>
        </w:tc>
        <w:tc>
          <w:tcPr>
            <w:tcW w:w="2759" w:type="dxa"/>
            <w:noWrap w:val="0"/>
            <w:vAlign w:val="top"/>
          </w:tcPr>
          <w:p w14:paraId="40D65DA1">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搜集项目资料，审核项目，撰写报告。</w:t>
            </w:r>
          </w:p>
        </w:tc>
        <w:tc>
          <w:tcPr>
            <w:tcW w:w="1513" w:type="dxa"/>
            <w:noWrap w:val="0"/>
            <w:vAlign w:val="top"/>
          </w:tcPr>
          <w:p w14:paraId="51569BAF">
            <w:pPr>
              <w:keepNext w:val="0"/>
              <w:keepLines w:val="0"/>
              <w:suppressLineNumbers w:val="0"/>
              <w:spacing w:before="0" w:beforeAutospacing="0" w:after="0" w:afterAutospacing="0" w:line="240" w:lineRule="auto"/>
              <w:ind w:left="0" w:leftChars="0" w:right="0" w:rightChars="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18709985377</w:t>
            </w:r>
          </w:p>
        </w:tc>
      </w:tr>
    </w:tbl>
    <w:p w14:paraId="16FC1AB7">
      <w:pPr>
        <w:bidi w:val="0"/>
        <w:rPr>
          <w:rFonts w:hint="eastAsia"/>
          <w:lang w:val="en-US" w:eastAsia="zh-CN"/>
        </w:rPr>
      </w:pPr>
      <w:r>
        <w:rPr>
          <w:rFonts w:hint="eastAsia"/>
          <w:lang w:val="en-US" w:eastAsia="zh-CN"/>
        </w:rPr>
        <w:t>（1）原始资料查阅</w:t>
      </w:r>
    </w:p>
    <w:p w14:paraId="512BD589">
      <w:pPr>
        <w:bidi w:val="0"/>
        <w:rPr>
          <w:rFonts w:hint="eastAsia"/>
          <w:lang w:val="en-US" w:eastAsia="zh-CN"/>
        </w:rPr>
      </w:pPr>
      <w:r>
        <w:rPr>
          <w:rFonts w:hint="eastAsia"/>
          <w:lang w:val="en-US" w:eastAsia="zh-CN"/>
        </w:rPr>
        <w:t>评价小组在莎车县社会保险中心全力配合协助下，收集项目相关背景资料、项目目标、预算资料、项目执行管理资料、项目资金支付资料，对项目相关信息进行深入分析。根据《项目支出绩效评价管理办法》（财预〔2020〕10号）文件要求，结合项目的特点，梳理绩效评价总体思路，形成项目评价指标体系。</w:t>
      </w:r>
    </w:p>
    <w:p w14:paraId="472B1F98">
      <w:pPr>
        <w:bidi w:val="0"/>
        <w:rPr>
          <w:rFonts w:hint="eastAsia"/>
          <w:lang w:val="en-US" w:eastAsia="zh-CN"/>
        </w:rPr>
      </w:pPr>
      <w:r>
        <w:rPr>
          <w:rFonts w:hint="eastAsia"/>
          <w:lang w:val="en-US" w:eastAsia="zh-CN"/>
        </w:rPr>
        <w:t>（2）确定评价思路和方法</w:t>
      </w:r>
    </w:p>
    <w:p w14:paraId="163A7A68">
      <w:pPr>
        <w:bidi w:val="0"/>
        <w:rPr>
          <w:rFonts w:hint="eastAsia"/>
          <w:lang w:val="en-US" w:eastAsia="zh-CN"/>
        </w:rPr>
      </w:pPr>
      <w:r>
        <w:rPr>
          <w:rFonts w:hint="eastAsia"/>
          <w:lang w:val="en-US" w:eastAsia="zh-CN"/>
        </w:rPr>
        <w:t>按照《项目支出绩效评价管理办法》（财预〔2020〕10号）文件要求，制定项目绩效评价指标体系，主要围绕项目决策、资金投入、过程管理、产出效果和社会效益。通过问卷、访谈等方式获取评价数据，明确工作方法和步骤，制定科学合理的工作计划。</w:t>
      </w:r>
    </w:p>
    <w:p w14:paraId="602E1D62">
      <w:pPr>
        <w:pStyle w:val="7"/>
        <w:bidi w:val="0"/>
        <w:rPr>
          <w:rFonts w:hint="eastAsia"/>
          <w:lang w:val="en-US" w:eastAsia="zh-CN"/>
        </w:rPr>
      </w:pPr>
      <w:bookmarkStart w:id="303" w:name="_Toc3382"/>
      <w:bookmarkStart w:id="304" w:name="_Toc31157"/>
      <w:r>
        <w:rPr>
          <w:rFonts w:hint="eastAsia"/>
          <w:lang w:val="en-US" w:eastAsia="zh-CN"/>
        </w:rPr>
        <w:t>第二阶段：组织实施。</w:t>
      </w:r>
      <w:bookmarkEnd w:id="303"/>
      <w:bookmarkEnd w:id="304"/>
    </w:p>
    <w:p w14:paraId="05C30B8D">
      <w:pPr>
        <w:bidi w:val="0"/>
        <w:rPr>
          <w:rFonts w:hint="eastAsia"/>
          <w:lang w:val="en-US" w:eastAsia="zh-CN"/>
        </w:rPr>
      </w:pPr>
      <w:r>
        <w:rPr>
          <w:rFonts w:hint="eastAsia"/>
          <w:lang w:val="en-US" w:eastAsia="zh-CN"/>
        </w:rPr>
        <w:t>（1）采集评价基础数据及相关资料</w:t>
      </w:r>
    </w:p>
    <w:p w14:paraId="6609FC1E">
      <w:pPr>
        <w:bidi w:val="0"/>
        <w:rPr>
          <w:rFonts w:hint="eastAsia"/>
          <w:lang w:val="en-US" w:eastAsia="zh-CN"/>
        </w:rPr>
      </w:pPr>
      <w:r>
        <w:rPr>
          <w:rFonts w:hint="eastAsia"/>
          <w:lang w:val="en-US" w:eastAsia="zh-CN"/>
        </w:rPr>
        <w:t>全面收集项目相关资料和基础数据，完成绩效评价内容和评价指标体系的评价印证资料。整理该项目主要采用查阅相关文件政策、会计凭证等资料，采集项目资金支出情况、项目完成情况及项目成本构成等数据资料；并通过访谈、社会调查掌握具体情况，对采集的数据做详细的分析和统计。</w:t>
      </w:r>
    </w:p>
    <w:p w14:paraId="15655F6A">
      <w:pPr>
        <w:bidi w:val="0"/>
        <w:rPr>
          <w:rFonts w:hint="eastAsia"/>
          <w:lang w:val="en-US" w:eastAsia="zh-CN"/>
        </w:rPr>
      </w:pPr>
      <w:r>
        <w:rPr>
          <w:rFonts w:hint="eastAsia"/>
          <w:lang w:val="en-US" w:eastAsia="zh-CN"/>
        </w:rPr>
        <w:t>（2）实地调研</w:t>
      </w:r>
    </w:p>
    <w:p w14:paraId="2BF834C2">
      <w:pPr>
        <w:bidi w:val="0"/>
        <w:rPr>
          <w:rFonts w:hint="eastAsia"/>
          <w:lang w:val="en-US" w:eastAsia="zh-CN"/>
        </w:rPr>
      </w:pPr>
      <w:r>
        <w:rPr>
          <w:rFonts w:hint="eastAsia"/>
          <w:lang w:val="en-US" w:eastAsia="zh-CN"/>
        </w:rPr>
        <w:t>项目评价组根据项目实施过程及指标评价需求判断，针对项目进行实地调研考察，进行实地调研检查项目资金使用情况，重点关注资金使用是否存在截留、挪用财政专项资金的情况；资金支付审批情况是否合规；资金支付所需材料是否齐备；是否存在擅自改变、扩大支出范围的情况；是否存在擅自提高支出标准、虚列项目支出等情况。</w:t>
      </w:r>
    </w:p>
    <w:p w14:paraId="313B5339">
      <w:pPr>
        <w:pStyle w:val="7"/>
        <w:bidi w:val="0"/>
        <w:rPr>
          <w:rFonts w:hint="eastAsia"/>
          <w:lang w:val="en-US" w:eastAsia="zh-CN"/>
        </w:rPr>
      </w:pPr>
      <w:r>
        <w:rPr>
          <w:rFonts w:hint="eastAsia"/>
          <w:lang w:val="en-US" w:eastAsia="zh-CN"/>
        </w:rPr>
        <w:t>第三阶段：分析评价。</w:t>
      </w:r>
    </w:p>
    <w:p w14:paraId="72BD1EC8">
      <w:pPr>
        <w:bidi w:val="0"/>
        <w:rPr>
          <w:rFonts w:hint="eastAsia"/>
          <w:lang w:val="en-US" w:eastAsia="zh-CN"/>
        </w:rPr>
      </w:pPr>
      <w:r>
        <w:rPr>
          <w:rFonts w:hint="eastAsia"/>
          <w:lang w:val="en-US" w:eastAsia="zh-CN"/>
        </w:rPr>
        <w:t>一是根据所收集的资料，结合现场勘查等有关情况，整理出绩效评价所需要的基本资料和数据。二是按照确定的评价指标、评价标准和评价方法，对评价对象的绩效情况进行全面的定量定性分析和综合评价，量化评分，形成评价初步结论。</w:t>
      </w:r>
    </w:p>
    <w:p w14:paraId="73528EA7">
      <w:pPr>
        <w:pStyle w:val="7"/>
        <w:bidi w:val="0"/>
        <w:rPr>
          <w:rFonts w:hint="eastAsia"/>
          <w:lang w:val="en-US" w:eastAsia="zh-CN"/>
        </w:rPr>
      </w:pPr>
      <w:bookmarkStart w:id="305" w:name="_Toc6645"/>
      <w:bookmarkStart w:id="306" w:name="_Toc23364"/>
      <w:r>
        <w:rPr>
          <w:rFonts w:hint="eastAsia"/>
          <w:lang w:val="en-US" w:eastAsia="zh-CN"/>
        </w:rPr>
        <w:t>第四阶段：撰写报告。</w:t>
      </w:r>
      <w:bookmarkEnd w:id="305"/>
      <w:bookmarkEnd w:id="306"/>
    </w:p>
    <w:p w14:paraId="3B146997">
      <w:pPr>
        <w:bidi w:val="0"/>
        <w:rPr>
          <w:rFonts w:hint="eastAsia"/>
          <w:lang w:val="en-US" w:eastAsia="zh-CN"/>
        </w:rPr>
      </w:pPr>
      <w:r>
        <w:rPr>
          <w:rFonts w:hint="eastAsia"/>
          <w:lang w:val="en-US" w:eastAsia="zh-CN"/>
        </w:rPr>
        <w:t>归纳总结项目整体情况，分析存在具体问题，剖析问题成因，征求项目实施单位意见，并结合反馈意见，提出解决问题具体举措，并如实撰写绩效评价报告。</w:t>
      </w:r>
    </w:p>
    <w:p w14:paraId="7423184B">
      <w:pPr>
        <w:pStyle w:val="7"/>
        <w:bidi w:val="0"/>
        <w:rPr>
          <w:rFonts w:hint="eastAsia"/>
          <w:lang w:val="en-US" w:eastAsia="zh-CN"/>
        </w:rPr>
      </w:pPr>
      <w:r>
        <w:rPr>
          <w:rFonts w:hint="eastAsia"/>
          <w:lang w:val="en-US" w:eastAsia="zh-CN"/>
        </w:rPr>
        <w:t>第五阶段：会审完善。</w:t>
      </w:r>
    </w:p>
    <w:p w14:paraId="173DE1CC">
      <w:pPr>
        <w:bidi w:val="0"/>
        <w:rPr>
          <w:rFonts w:hint="eastAsia"/>
          <w:lang w:val="en-US" w:eastAsia="zh-CN"/>
        </w:rPr>
      </w:pPr>
      <w:bookmarkStart w:id="307" w:name="OLE_LINK1"/>
      <w:r>
        <w:rPr>
          <w:rFonts w:hint="eastAsia"/>
          <w:lang w:val="en-US" w:eastAsia="zh-CN"/>
        </w:rPr>
        <w:t>由财政部门代表、第三方机构代表、人大代表、绩效评价专家及被评价行业专家组成评价专家组，对绩效报告真实性、合规性进行联合会审，提出修正完善意见，</w:t>
      </w:r>
      <w:bookmarkStart w:id="308" w:name="OLE_LINK2"/>
      <w:r>
        <w:rPr>
          <w:rFonts w:hint="eastAsia"/>
          <w:lang w:val="en-US" w:eastAsia="zh-CN"/>
        </w:rPr>
        <w:t>绩效评价机构</w:t>
      </w:r>
      <w:bookmarkEnd w:id="308"/>
      <w:r>
        <w:rPr>
          <w:rFonts w:hint="eastAsia"/>
          <w:lang w:val="en-US" w:eastAsia="zh-CN"/>
        </w:rPr>
        <w:t>根据会审意见，修正完善绩效评价报告。</w:t>
      </w:r>
      <w:bookmarkEnd w:id="307"/>
    </w:p>
    <w:p w14:paraId="0D12B52C">
      <w:pPr>
        <w:pStyle w:val="7"/>
        <w:bidi w:val="0"/>
        <w:rPr>
          <w:rFonts w:hint="eastAsia"/>
          <w:lang w:val="en-US" w:eastAsia="zh-CN"/>
        </w:rPr>
      </w:pPr>
      <w:r>
        <w:rPr>
          <w:rFonts w:hint="eastAsia"/>
          <w:lang w:val="en-US" w:eastAsia="zh-CN"/>
        </w:rPr>
        <w:t>第六阶段：归集档案。</w:t>
      </w:r>
    </w:p>
    <w:p w14:paraId="333CAC77">
      <w:pPr>
        <w:bidi w:val="0"/>
        <w:rPr>
          <w:rFonts w:hint="eastAsia"/>
          <w:lang w:val="en-US" w:eastAsia="zh-CN"/>
        </w:rPr>
      </w:pPr>
      <w:r>
        <w:rPr>
          <w:rFonts w:hint="eastAsia"/>
          <w:lang w:val="en-US" w:eastAsia="zh-CN"/>
        </w:rPr>
        <w:t>将项目相关资料按照一项目一存档的原则进行分类存档，包括但不限于：评价项目基本情况、项目管理文件和其他相关文件、项目绩效评价实施方案、项目支付资料及项目资产账目等相关档案。</w:t>
      </w:r>
    </w:p>
    <w:p w14:paraId="7D25AAF8">
      <w:pPr>
        <w:pStyle w:val="5"/>
        <w:bidi w:val="0"/>
        <w:rPr>
          <w:rFonts w:hint="eastAsia"/>
          <w:lang w:val="en-US" w:eastAsia="zh-CN"/>
        </w:rPr>
      </w:pPr>
      <w:bookmarkStart w:id="309" w:name="_Toc21618"/>
      <w:bookmarkStart w:id="310" w:name="_Toc2568"/>
      <w:bookmarkStart w:id="311" w:name="_Toc4445"/>
      <w:bookmarkStart w:id="312" w:name="_Toc20225"/>
      <w:bookmarkStart w:id="313" w:name="_Toc13112"/>
      <w:bookmarkStart w:id="314" w:name="_Toc15513"/>
      <w:bookmarkStart w:id="315" w:name="_Toc225"/>
      <w:bookmarkStart w:id="316" w:name="_Toc5280"/>
      <w:r>
        <w:rPr>
          <w:rFonts w:hint="eastAsia"/>
          <w:lang w:val="en-US" w:eastAsia="zh-CN"/>
        </w:rPr>
        <w:t>三、综合评价情况及评价结论</w:t>
      </w:r>
      <w:bookmarkEnd w:id="309"/>
      <w:bookmarkEnd w:id="310"/>
      <w:bookmarkEnd w:id="311"/>
      <w:bookmarkEnd w:id="312"/>
      <w:bookmarkEnd w:id="313"/>
      <w:bookmarkEnd w:id="314"/>
      <w:bookmarkEnd w:id="315"/>
      <w:bookmarkEnd w:id="316"/>
    </w:p>
    <w:bookmarkEnd w:id="288"/>
    <w:bookmarkEnd w:id="289"/>
    <w:bookmarkEnd w:id="290"/>
    <w:bookmarkEnd w:id="291"/>
    <w:bookmarkEnd w:id="292"/>
    <w:p w14:paraId="7488BABA">
      <w:pPr>
        <w:pStyle w:val="6"/>
        <w:bidi w:val="0"/>
        <w:rPr>
          <w:rFonts w:hint="eastAsia"/>
          <w:lang w:val="en-US" w:eastAsia="zh-CN"/>
        </w:rPr>
      </w:pPr>
      <w:bookmarkStart w:id="317" w:name="_Toc18360"/>
      <w:bookmarkStart w:id="318" w:name="_Toc3419"/>
      <w:bookmarkStart w:id="319" w:name="_Toc107396742"/>
      <w:bookmarkStart w:id="320" w:name="_Toc30035"/>
      <w:bookmarkStart w:id="321" w:name="_Toc20880"/>
      <w:bookmarkStart w:id="322" w:name="_Toc3263"/>
      <w:bookmarkStart w:id="323" w:name="_Toc27178"/>
      <w:bookmarkStart w:id="324" w:name="_Toc23393"/>
      <w:r>
        <w:rPr>
          <w:rFonts w:hint="eastAsia"/>
          <w:lang w:val="en-US" w:eastAsia="zh-CN"/>
        </w:rPr>
        <w:t>（一）综合评价情况</w:t>
      </w:r>
      <w:bookmarkEnd w:id="317"/>
      <w:bookmarkEnd w:id="318"/>
      <w:bookmarkEnd w:id="319"/>
      <w:bookmarkEnd w:id="320"/>
      <w:bookmarkEnd w:id="321"/>
      <w:bookmarkEnd w:id="322"/>
      <w:bookmarkEnd w:id="323"/>
      <w:bookmarkEnd w:id="324"/>
    </w:p>
    <w:p w14:paraId="09CA8CAD">
      <w:pPr>
        <w:bidi w:val="0"/>
        <w:rPr>
          <w:rFonts w:hint="eastAsia"/>
        </w:rPr>
      </w:pPr>
      <w:r>
        <w:rPr>
          <w:rFonts w:hint="eastAsia"/>
        </w:rPr>
        <w:t>项目决策方面：</w:t>
      </w:r>
      <w:r>
        <w:rPr>
          <w:rFonts w:hint="eastAsia"/>
          <w:lang w:eastAsia="zh-CN"/>
        </w:rPr>
        <w:t>该项目</w:t>
      </w:r>
      <w:r>
        <w:rPr>
          <w:rFonts w:hint="eastAsia"/>
          <w:lang w:val="en-US" w:eastAsia="zh-CN"/>
        </w:rPr>
        <w:t>根据《关于印发自治区建立统一的城乡居民基本养老保险制度实施办法的通知》（新政发〔2014〕76号）、《关于建立自治区城乡居民基本养老保险待遇确定和基础养老金正常调整机制的实施意见》（新人社发〔2018〕43号）文件要求设立，立项依据充分，立项程序规范。预算编制与项目内容匹配，测算依据完整，论证充分。</w:t>
      </w:r>
    </w:p>
    <w:p w14:paraId="704E5F05">
      <w:pPr>
        <w:bidi w:val="0"/>
        <w:rPr>
          <w:rFonts w:hint="eastAsia"/>
          <w:lang w:val="en-US" w:eastAsia="zh-CN"/>
        </w:rPr>
      </w:pPr>
      <w:r>
        <w:rPr>
          <w:rFonts w:hint="eastAsia"/>
        </w:rPr>
        <w:t>项目管理方面</w:t>
      </w:r>
      <w:r>
        <w:rPr>
          <w:rFonts w:hint="eastAsia"/>
          <w:lang w:val="en-US" w:eastAsia="zh-CN"/>
        </w:rPr>
        <w:t>：该项目预算安排资金19538.19万元，实际支出19538.19万元。预算执行率100%。项目资金使用合规，项目财务管理制度健全，财务监控到位，所有资金支付按照国库集中支付制度严格执行。</w:t>
      </w:r>
    </w:p>
    <w:p w14:paraId="5250B3C5">
      <w:pPr>
        <w:bidi w:val="0"/>
        <w:rPr>
          <w:rFonts w:hint="default"/>
          <w:lang w:val="en-US" w:eastAsia="zh-CN"/>
        </w:rPr>
      </w:pPr>
      <w:r>
        <w:rPr>
          <w:rFonts w:hint="eastAsia"/>
        </w:rPr>
        <w:t>项目产出方面：</w:t>
      </w:r>
      <w:r>
        <w:rPr>
          <w:rFonts w:hint="eastAsia"/>
          <w:lang w:eastAsia="zh-CN"/>
        </w:rPr>
        <w:t>2025年城乡居民养老保险支出项目预算资金</w:t>
      </w:r>
      <w:r>
        <w:rPr>
          <w:rFonts w:hint="eastAsia"/>
          <w:lang w:val="en-US" w:eastAsia="zh-CN"/>
        </w:rPr>
        <w:t>19538.19万元，对符合条件的65196名城乡老年居民发放12次基础养老金，发放4352人丧葬费，个人账户支出52518人，转移支出202人，其他支出109人，通过项目实施，保障养老保险参保人员待遇，保障老人生活水平与质量。</w:t>
      </w:r>
    </w:p>
    <w:p w14:paraId="51F2275F">
      <w:pPr>
        <w:bidi w:val="0"/>
        <w:rPr>
          <w:rFonts w:hint="default"/>
          <w:lang w:val="en-US" w:eastAsia="zh-CN"/>
        </w:rPr>
      </w:pPr>
      <w:r>
        <w:rPr>
          <w:rFonts w:hint="eastAsia"/>
        </w:rPr>
        <w:t>项目效益方面：</w:t>
      </w:r>
      <w:r>
        <w:rPr>
          <w:rFonts w:hint="eastAsia"/>
          <w:lang w:eastAsia="zh-CN"/>
        </w:rPr>
        <w:t>基础养老金发放，有效保障社会稳定和长治久安，有效推动城乡居民基本养老保险制度可持续发展，保障居民老有所养、安享晚年，退休人员满意度达到</w:t>
      </w:r>
      <w:r>
        <w:rPr>
          <w:rFonts w:hint="eastAsia"/>
          <w:lang w:val="en-US" w:eastAsia="zh-CN"/>
        </w:rPr>
        <w:t>95%。</w:t>
      </w:r>
    </w:p>
    <w:p w14:paraId="06585A6C">
      <w:pPr>
        <w:pStyle w:val="6"/>
        <w:bidi w:val="0"/>
        <w:rPr>
          <w:rFonts w:hint="eastAsia"/>
          <w:lang w:val="en-US" w:eastAsia="zh-CN"/>
        </w:rPr>
      </w:pPr>
      <w:bookmarkStart w:id="325" w:name="_Toc10084"/>
      <w:bookmarkStart w:id="326" w:name="_Toc107396743"/>
      <w:bookmarkStart w:id="327" w:name="_Toc3765"/>
      <w:bookmarkStart w:id="328" w:name="_Toc20159"/>
      <w:bookmarkStart w:id="329" w:name="_Toc26672"/>
      <w:bookmarkStart w:id="330" w:name="_Toc23716"/>
      <w:bookmarkStart w:id="331" w:name="_Toc15252"/>
      <w:bookmarkStart w:id="332" w:name="_Toc21210"/>
      <w:r>
        <w:rPr>
          <w:rFonts w:hint="eastAsia"/>
          <w:lang w:val="en-US" w:eastAsia="zh-CN"/>
        </w:rPr>
        <w:t>（二）综合评价结论</w:t>
      </w:r>
      <w:bookmarkEnd w:id="325"/>
      <w:bookmarkEnd w:id="326"/>
      <w:bookmarkEnd w:id="327"/>
      <w:bookmarkEnd w:id="328"/>
      <w:bookmarkEnd w:id="329"/>
      <w:bookmarkEnd w:id="330"/>
      <w:bookmarkEnd w:id="331"/>
      <w:bookmarkEnd w:id="332"/>
    </w:p>
    <w:p w14:paraId="7243242A">
      <w:pPr>
        <w:bidi w:val="0"/>
        <w:rPr>
          <w:rFonts w:hint="eastAsia"/>
        </w:rPr>
      </w:pPr>
      <w:r>
        <w:rPr>
          <w:rFonts w:hint="eastAsia"/>
        </w:rPr>
        <w:t>依据</w:t>
      </w:r>
      <w:r>
        <w:rPr>
          <w:rFonts w:hint="eastAsia"/>
          <w:lang w:eastAsia="zh-CN"/>
        </w:rPr>
        <w:t>《中共中央 国务院</w:t>
      </w:r>
      <w:r>
        <w:rPr>
          <w:rFonts w:hint="eastAsia"/>
        </w:rPr>
        <w:t>关于全面实施预算绩效管理的意见》及《关于进一步加强和规范喀什地区项目支出“全过程”预算绩效管理结果应用的通知》（喀地财绩〔2022〕2号）文件，绩效评价总分设置为100分，划分为四档：90（含）-100分为优、80（含）-90分为良、</w:t>
      </w:r>
      <w:r>
        <w:rPr>
          <w:rFonts w:hint="eastAsia"/>
          <w:lang w:val="en-US" w:eastAsia="zh-CN"/>
        </w:rPr>
        <w:t>70</w:t>
      </w:r>
      <w:r>
        <w:rPr>
          <w:rFonts w:hint="eastAsia"/>
        </w:rPr>
        <w:t>（含）-80分为中、</w:t>
      </w:r>
      <w:r>
        <w:rPr>
          <w:rFonts w:hint="eastAsia"/>
          <w:lang w:val="en-US" w:eastAsia="zh-CN"/>
        </w:rPr>
        <w:t>70</w:t>
      </w:r>
      <w:r>
        <w:rPr>
          <w:rFonts w:hint="eastAsia"/>
        </w:rPr>
        <w:t>分以下为差。</w:t>
      </w:r>
    </w:p>
    <w:p w14:paraId="41CB398F">
      <w:pPr>
        <w:bidi w:val="0"/>
        <w:rPr>
          <w:rFonts w:hint="eastAsia"/>
        </w:rPr>
      </w:pPr>
      <w:r>
        <w:rPr>
          <w:rFonts w:hint="eastAsia"/>
        </w:rPr>
        <w:t>运用由项目组制订评价指标体系及评分标准，该项目最终评分</w:t>
      </w:r>
      <w:r>
        <w:rPr>
          <w:rFonts w:hint="eastAsia"/>
          <w:lang w:val="en-US" w:eastAsia="zh-CN"/>
        </w:rPr>
        <w:t>99</w:t>
      </w:r>
      <w:r>
        <w:rPr>
          <w:rFonts w:hint="eastAsia"/>
        </w:rPr>
        <w:t>分，绩效评级为“</w:t>
      </w:r>
      <w:r>
        <w:rPr>
          <w:rFonts w:hint="eastAsia"/>
          <w:lang w:eastAsia="zh-CN"/>
        </w:rPr>
        <w:t>优</w:t>
      </w:r>
      <w:r>
        <w:rPr>
          <w:rFonts w:hint="eastAsia"/>
        </w:rPr>
        <w:t>”，具体得分情况为：项目决策</w:t>
      </w:r>
      <w:r>
        <w:rPr>
          <w:rFonts w:hint="eastAsia"/>
          <w:lang w:val="en-US" w:eastAsia="zh-CN"/>
        </w:rPr>
        <w:t>20</w:t>
      </w:r>
      <w:r>
        <w:rPr>
          <w:rFonts w:hint="eastAsia"/>
        </w:rPr>
        <w:t>分、项目过程</w:t>
      </w:r>
      <w:r>
        <w:rPr>
          <w:rFonts w:hint="eastAsia"/>
          <w:lang w:val="en-US" w:eastAsia="zh-CN"/>
        </w:rPr>
        <w:t>19</w:t>
      </w:r>
      <w:r>
        <w:rPr>
          <w:rFonts w:hint="eastAsia"/>
        </w:rPr>
        <w:t>分、项目产出</w:t>
      </w:r>
      <w:r>
        <w:rPr>
          <w:rFonts w:hint="eastAsia"/>
          <w:lang w:val="en-US" w:eastAsia="zh-CN"/>
        </w:rPr>
        <w:t>40</w:t>
      </w:r>
      <w:r>
        <w:rPr>
          <w:rFonts w:hint="eastAsia"/>
        </w:rPr>
        <w:t>分、项目效益</w:t>
      </w:r>
      <w:r>
        <w:rPr>
          <w:rFonts w:hint="eastAsia"/>
          <w:lang w:val="en-US" w:eastAsia="zh-CN"/>
        </w:rPr>
        <w:t>20</w:t>
      </w:r>
      <w:r>
        <w:rPr>
          <w:rFonts w:hint="eastAsia"/>
        </w:rPr>
        <w:t>分。</w:t>
      </w:r>
    </w:p>
    <w:p w14:paraId="0EEACD09">
      <w:pPr>
        <w:bidi w:val="0"/>
        <w:jc w:val="center"/>
        <w:rPr>
          <w:rFonts w:hint="eastAsia" w:ascii="方正楷体_GBK" w:hAnsi="方正楷体_GBK" w:eastAsia="方正楷体_GBK" w:cs="方正楷体_GBK"/>
          <w:b/>
          <w:bCs/>
          <w:sz w:val="28"/>
          <w:szCs w:val="28"/>
        </w:rPr>
      </w:pPr>
      <w:bookmarkStart w:id="333" w:name="_Toc31811"/>
      <w:bookmarkStart w:id="334" w:name="_Toc9769"/>
      <w:r>
        <w:rPr>
          <w:rFonts w:hint="eastAsia" w:ascii="方正楷体_GBK" w:hAnsi="方正楷体_GBK" w:eastAsia="方正楷体_GBK" w:cs="方正楷体_GBK"/>
          <w:b/>
          <w:bCs/>
          <w:sz w:val="28"/>
          <w:szCs w:val="28"/>
          <w:lang w:eastAsia="zh-CN"/>
        </w:rPr>
        <w:t>2025年城乡居民养老保险支出项目</w:t>
      </w:r>
      <w:r>
        <w:rPr>
          <w:rFonts w:hint="eastAsia" w:ascii="方正楷体_GBK" w:hAnsi="方正楷体_GBK" w:eastAsia="方正楷体_GBK" w:cs="方正楷体_GBK"/>
          <w:b/>
          <w:bCs/>
          <w:sz w:val="28"/>
          <w:szCs w:val="28"/>
        </w:rPr>
        <w:t>得分情况表</w:t>
      </w:r>
      <w:bookmarkEnd w:id="333"/>
      <w:bookmarkEnd w:id="334"/>
    </w:p>
    <w:tbl>
      <w:tblPr>
        <w:tblStyle w:val="15"/>
        <w:tblW w:w="5000" w:type="pct"/>
        <w:tblInd w:w="0" w:type="dxa"/>
        <w:tblLayout w:type="autofit"/>
        <w:tblCellMar>
          <w:top w:w="0" w:type="dxa"/>
          <w:left w:w="0" w:type="dxa"/>
          <w:bottom w:w="0" w:type="dxa"/>
          <w:right w:w="0" w:type="dxa"/>
        </w:tblCellMar>
      </w:tblPr>
      <w:tblGrid>
        <w:gridCol w:w="3326"/>
        <w:gridCol w:w="1663"/>
        <w:gridCol w:w="1663"/>
        <w:gridCol w:w="1664"/>
      </w:tblGrid>
      <w:tr w14:paraId="54ECCCC2">
        <w:tblPrEx>
          <w:tblCellMar>
            <w:top w:w="0" w:type="dxa"/>
            <w:left w:w="0" w:type="dxa"/>
            <w:bottom w:w="0" w:type="dxa"/>
            <w:right w:w="0" w:type="dxa"/>
          </w:tblCellMar>
        </w:tblPrEx>
        <w:trPr>
          <w:trHeight w:val="400"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41B44C">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488020">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891E3D">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得分率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CBF6C0">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实际得分</w:t>
            </w:r>
          </w:p>
        </w:tc>
      </w:tr>
      <w:tr w14:paraId="379BEE6A">
        <w:tblPrEx>
          <w:tblCellMar>
            <w:top w:w="0" w:type="dxa"/>
            <w:left w:w="0" w:type="dxa"/>
            <w:bottom w:w="0" w:type="dxa"/>
            <w:right w:w="0" w:type="dxa"/>
          </w:tblCellMar>
        </w:tblPrEx>
        <w:trPr>
          <w:trHeight w:val="400" w:hRule="atLeast"/>
        </w:trPr>
        <w:tc>
          <w:tcPr>
            <w:tcW w:w="2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3D7BE">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项目决策</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A4726D">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11445F">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100</w:t>
            </w:r>
            <w:r>
              <w:rPr>
                <w:rFonts w:hint="eastAsia" w:ascii="方正仿宋_GBK" w:hAnsi="方正仿宋_GBK" w:eastAsia="方正仿宋_GBK" w:cs="方正仿宋_GBK"/>
                <w:color w:val="auto"/>
                <w:sz w:val="32"/>
                <w:szCs w:val="32"/>
              </w:rPr>
              <w:t>%</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6EA962">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w:t>
            </w:r>
          </w:p>
        </w:tc>
      </w:tr>
      <w:tr w14:paraId="3EE58577">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67DE7C">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项目过程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4CCF50">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A7E41B">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95</w:t>
            </w:r>
            <w:r>
              <w:rPr>
                <w:rFonts w:hint="eastAsia" w:ascii="方正仿宋_GBK" w:hAnsi="方正仿宋_GBK" w:eastAsia="方正仿宋_GBK" w:cs="方正仿宋_GBK"/>
                <w:color w:val="auto"/>
                <w:sz w:val="32"/>
                <w:szCs w:val="32"/>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789D9C">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w:t>
            </w:r>
          </w:p>
        </w:tc>
      </w:tr>
      <w:tr w14:paraId="10BF5367">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B5C008">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项目产出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9B2007">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4B3A4D">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100</w:t>
            </w:r>
            <w:r>
              <w:rPr>
                <w:rFonts w:hint="eastAsia" w:ascii="方正仿宋_GBK" w:hAnsi="方正仿宋_GBK" w:eastAsia="方正仿宋_GBK" w:cs="方正仿宋_GBK"/>
                <w:color w:val="auto"/>
                <w:sz w:val="32"/>
                <w:szCs w:val="32"/>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25F569">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40</w:t>
            </w:r>
          </w:p>
        </w:tc>
      </w:tr>
      <w:tr w14:paraId="3161FE45">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384DB8">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项目效益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9B4BC5">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D941B7">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100</w:t>
            </w:r>
            <w:r>
              <w:rPr>
                <w:rFonts w:hint="eastAsia" w:ascii="方正仿宋_GBK" w:hAnsi="方正仿宋_GBK" w:eastAsia="方正仿宋_GBK" w:cs="方正仿宋_GBK"/>
                <w:color w:val="auto"/>
                <w:sz w:val="32"/>
                <w:szCs w:val="32"/>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7F4FCC">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w:t>
            </w:r>
          </w:p>
        </w:tc>
      </w:tr>
      <w:tr w14:paraId="602C874A">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98D6FB">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75E352">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7645D3">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99</w:t>
            </w:r>
            <w:r>
              <w:rPr>
                <w:rFonts w:hint="eastAsia" w:ascii="方正仿宋_GBK" w:hAnsi="方正仿宋_GBK" w:eastAsia="方正仿宋_GBK" w:cs="方正仿宋_GBK"/>
                <w:color w:val="auto"/>
                <w:sz w:val="32"/>
                <w:szCs w:val="32"/>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84194C">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99</w:t>
            </w:r>
          </w:p>
        </w:tc>
      </w:tr>
    </w:tbl>
    <w:p w14:paraId="58D6AD7A">
      <w:pPr>
        <w:pStyle w:val="5"/>
        <w:bidi w:val="0"/>
        <w:rPr>
          <w:rFonts w:hint="eastAsia"/>
          <w:lang w:val="en-US" w:eastAsia="zh-CN"/>
        </w:rPr>
      </w:pPr>
      <w:bookmarkStart w:id="335" w:name="_Toc21973"/>
      <w:bookmarkStart w:id="336" w:name="_Toc31939"/>
      <w:bookmarkStart w:id="337" w:name="_Toc27929"/>
      <w:bookmarkStart w:id="338" w:name="_Toc28144"/>
      <w:bookmarkStart w:id="339" w:name="_Toc15881"/>
      <w:bookmarkStart w:id="340" w:name="_Toc17708"/>
      <w:bookmarkStart w:id="341" w:name="_Toc28488"/>
      <w:bookmarkStart w:id="342" w:name="_Toc8567"/>
      <w:r>
        <w:rPr>
          <w:rFonts w:hint="eastAsia"/>
          <w:lang w:val="en-US" w:eastAsia="zh-CN"/>
        </w:rPr>
        <w:t>四、绩效评价指标分析</w:t>
      </w:r>
      <w:bookmarkEnd w:id="335"/>
      <w:bookmarkEnd w:id="336"/>
      <w:bookmarkEnd w:id="337"/>
      <w:bookmarkEnd w:id="338"/>
      <w:bookmarkEnd w:id="339"/>
      <w:bookmarkEnd w:id="340"/>
      <w:bookmarkEnd w:id="341"/>
      <w:bookmarkEnd w:id="342"/>
    </w:p>
    <w:p w14:paraId="53017E04">
      <w:pPr>
        <w:pStyle w:val="6"/>
        <w:bidi w:val="0"/>
        <w:rPr>
          <w:rFonts w:hint="eastAsia"/>
          <w:lang w:val="en-US" w:eastAsia="zh-CN"/>
        </w:rPr>
      </w:pPr>
      <w:bookmarkStart w:id="343" w:name="_Toc19499"/>
      <w:bookmarkStart w:id="344" w:name="_Toc9724"/>
      <w:bookmarkStart w:id="345" w:name="_Toc17981"/>
      <w:bookmarkStart w:id="346" w:name="_Toc23276"/>
      <w:bookmarkStart w:id="347" w:name="_Toc12563"/>
      <w:bookmarkStart w:id="348" w:name="_Toc13007"/>
      <w:bookmarkStart w:id="349" w:name="_Toc4821"/>
      <w:bookmarkStart w:id="350" w:name="_Toc27353"/>
      <w:bookmarkStart w:id="351" w:name="_Toc68364668"/>
      <w:r>
        <w:rPr>
          <w:rFonts w:hint="eastAsia"/>
          <w:lang w:val="en-US" w:eastAsia="zh-CN"/>
        </w:rPr>
        <w:t>（一）项目决策情况</w:t>
      </w:r>
      <w:bookmarkEnd w:id="343"/>
      <w:bookmarkEnd w:id="344"/>
      <w:bookmarkEnd w:id="345"/>
      <w:bookmarkEnd w:id="346"/>
      <w:bookmarkEnd w:id="347"/>
      <w:bookmarkEnd w:id="348"/>
      <w:bookmarkEnd w:id="349"/>
      <w:bookmarkEnd w:id="350"/>
    </w:p>
    <w:p w14:paraId="4E75167E">
      <w:pPr>
        <w:bidi w:val="0"/>
        <w:rPr>
          <w:rFonts w:hint="eastAsia"/>
          <w:lang w:val="en-US" w:eastAsia="zh-CN"/>
        </w:rPr>
      </w:pPr>
      <w:r>
        <w:rPr>
          <w:rFonts w:hint="eastAsia"/>
          <w:lang w:val="en-US" w:eastAsia="zh-CN"/>
        </w:rPr>
        <w:t>项目决策类指标包括项目立项、绩效目标和资金投入三方面的内容，由6个三级指标构成，权重分为20分，实际得分20分，得分率为100%。</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15"/>
        <w:gridCol w:w="2215"/>
        <w:gridCol w:w="2216"/>
        <w:gridCol w:w="2218"/>
      </w:tblGrid>
      <w:tr w14:paraId="29139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A2A023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rPr>
              <w:t>三级指标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55A5D5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权重</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CB5577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得分率</w:t>
            </w:r>
          </w:p>
        </w:tc>
        <w:tc>
          <w:tcPr>
            <w:tcW w:w="22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A12C42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实际得分</w:t>
            </w:r>
          </w:p>
        </w:tc>
      </w:tr>
      <w:tr w14:paraId="2DB89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215" w:type="dxa"/>
            <w:tcBorders>
              <w:top w:val="single" w:color="000000" w:sz="4" w:space="0"/>
              <w:left w:val="single" w:color="000000" w:sz="4" w:space="0"/>
              <w:bottom w:val="nil"/>
              <w:right w:val="single" w:color="000000" w:sz="4" w:space="0"/>
            </w:tcBorders>
            <w:shd w:val="clear" w:color="auto" w:fill="FFFFFF"/>
            <w:noWrap/>
            <w:tcMar>
              <w:top w:w="12" w:type="dxa"/>
              <w:left w:w="12" w:type="dxa"/>
              <w:right w:w="12" w:type="dxa"/>
            </w:tcMar>
            <w:vAlign w:val="center"/>
          </w:tcPr>
          <w:p w14:paraId="67ED999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立项依据充分性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8DBBCF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75FBCA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9DE7C9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3</w:t>
            </w:r>
          </w:p>
        </w:tc>
      </w:tr>
      <w:tr w14:paraId="4CDD0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BB7DEC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立项程序规范性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DA08C3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3605BE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E01178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2</w:t>
            </w:r>
          </w:p>
        </w:tc>
      </w:tr>
      <w:tr w14:paraId="676B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6DBA76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绩效目标合理性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F3F322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85EB2F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27E9E9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3</w:t>
            </w:r>
          </w:p>
        </w:tc>
      </w:tr>
      <w:tr w14:paraId="31D95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E870DA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绩效指标明确性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BFD165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6D1EA3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7EDE65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2</w:t>
            </w:r>
          </w:p>
        </w:tc>
      </w:tr>
      <w:tr w14:paraId="2ACAF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FD19E6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预算编制科学性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69EF05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EAB16A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675196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76903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527E95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资金分配合理性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43B18F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60D338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A45CBF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5570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1EE49F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合计</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33BADA5">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20</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D33FD8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2002BF2">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20</w:t>
            </w:r>
          </w:p>
        </w:tc>
      </w:tr>
    </w:tbl>
    <w:p w14:paraId="7DE1A3E8">
      <w:pPr>
        <w:numPr>
          <w:ilvl w:val="0"/>
          <w:numId w:val="2"/>
        </w:numPr>
        <w:bidi w:val="0"/>
        <w:rPr>
          <w:rFonts w:hint="eastAsia"/>
          <w:lang w:eastAsia="zh-CN"/>
        </w:rPr>
      </w:pPr>
      <w:r>
        <w:rPr>
          <w:rFonts w:hint="eastAsia"/>
          <w:lang w:val="en-US" w:eastAsia="zh-CN"/>
        </w:rPr>
        <w:t>立项依据充分性：该项目依据《关于印发自治区建立统一的城乡居民基本养老保险制度实施办法的通知》（新政发〔2014〕76号）文件设立实施；该项目立项符合国家法律法规、国民经济发展规划，</w:t>
      </w:r>
      <w:r>
        <w:rPr>
          <w:rFonts w:hint="eastAsia"/>
        </w:rPr>
        <w:t>符合自治区颁发的《关于建立自治区城乡居民基本养老保险待遇确定和基础养老金正常调整机制的实施意见》</w:t>
      </w:r>
      <w:r>
        <w:rPr>
          <w:rFonts w:hint="eastAsia"/>
          <w:lang w:eastAsia="zh-CN"/>
        </w:rPr>
        <w:t>（</w:t>
      </w:r>
      <w:r>
        <w:rPr>
          <w:rFonts w:hint="eastAsia"/>
        </w:rPr>
        <w:t>新人社发〔2018〕43号</w:t>
      </w:r>
      <w:r>
        <w:rPr>
          <w:rFonts w:hint="eastAsia"/>
          <w:lang w:eastAsia="zh-CN"/>
        </w:rPr>
        <w:t>）文件</w:t>
      </w:r>
      <w:r>
        <w:rPr>
          <w:rFonts w:hint="eastAsia"/>
        </w:rPr>
        <w:t>中：“坚持以人民为中心的发展思想，按照兜底线、织密网、建机制的要求，建立激励约束有效、筹资权责清晰、保障水平适度的城乡居民基本养老保险待遇确定和基础养老金正常调整机制，推动城乡居民基本养老保险待遇水平随经济发展而逐步提高，确保参保居民共享经济社会发展成果，促进城乡居民基本养老保险制度健康发展，不断增强参保居民的获得感、幸福感、安全感”</w:t>
      </w:r>
      <w:r>
        <w:rPr>
          <w:rFonts w:hint="eastAsia"/>
          <w:lang w:eastAsia="zh-CN"/>
        </w:rPr>
        <w:t>，</w:t>
      </w:r>
      <w:r>
        <w:rPr>
          <w:rFonts w:hint="eastAsia"/>
        </w:rPr>
        <w:t>符合行业发展规划和政策要求</w:t>
      </w:r>
      <w:r>
        <w:rPr>
          <w:rFonts w:hint="eastAsia"/>
          <w:lang w:eastAsia="zh-CN"/>
        </w:rPr>
        <w:t>；</w:t>
      </w:r>
    </w:p>
    <w:p w14:paraId="2AA20EF2">
      <w:pPr>
        <w:numPr>
          <w:ilvl w:val="0"/>
          <w:numId w:val="0"/>
        </w:numPr>
        <w:bidi w:val="0"/>
        <w:ind w:firstLine="640" w:firstLineChars="200"/>
        <w:rPr>
          <w:rFonts w:hint="eastAsia"/>
          <w:lang w:val="en-US" w:eastAsia="zh-CN"/>
        </w:rPr>
      </w:pPr>
      <w:r>
        <w:rPr>
          <w:rFonts w:hint="eastAsia"/>
          <w:lang w:val="en-US" w:eastAsia="zh-CN"/>
        </w:rPr>
        <w:t>该</w:t>
      </w:r>
      <w:r>
        <w:rPr>
          <w:rFonts w:hint="eastAsia"/>
        </w:rPr>
        <w:t>项目立项符合《</w:t>
      </w:r>
      <w:r>
        <w:rPr>
          <w:rFonts w:hint="eastAsia"/>
          <w:lang w:eastAsia="zh-CN"/>
        </w:rPr>
        <w:t>莎车县</w:t>
      </w:r>
      <w:r>
        <w:rPr>
          <w:rFonts w:hint="eastAsia"/>
        </w:rPr>
        <w:t>社会保险中心单位配置内设机构和人员编制规定》中职责范围中的</w:t>
      </w:r>
      <w:r>
        <w:rPr>
          <w:rFonts w:hint="eastAsia"/>
          <w:lang w:eastAsia="zh-CN"/>
        </w:rPr>
        <w:t>“</w:t>
      </w:r>
      <w:r>
        <w:rPr>
          <w:rFonts w:hint="eastAsia"/>
          <w:lang w:val="en-US" w:eastAsia="zh-CN"/>
        </w:rPr>
        <w:t>负责全县养老（包括机关事业养老保险、城乡居民基本养老保险、企业职工基本养老保险）、失业、工伤的参保登记和征缴工作；对全县养老（包括机关事业养老保险、城乡居民基本养老保险、企业职工基本养老保险）、失业、工伤、职业年金待遇进行审核、支付与结算</w:t>
      </w:r>
      <w:r>
        <w:rPr>
          <w:rFonts w:hint="eastAsia"/>
          <w:lang w:eastAsia="zh-CN"/>
        </w:rPr>
        <w:t>”，</w:t>
      </w:r>
      <w:r>
        <w:rPr>
          <w:rFonts w:hint="eastAsia"/>
          <w:lang w:val="en-US" w:eastAsia="zh-CN"/>
        </w:rPr>
        <w:t>项目立项与莎车县社会保险中心部门职责范围相符，</w:t>
      </w:r>
      <w:r>
        <w:rPr>
          <w:rFonts w:hint="eastAsia"/>
        </w:rPr>
        <w:t>属于</w:t>
      </w:r>
      <w:r>
        <w:rPr>
          <w:rFonts w:hint="eastAsia"/>
          <w:lang w:eastAsia="zh-CN"/>
        </w:rPr>
        <w:t>莎车县社会保险中心</w:t>
      </w:r>
      <w:r>
        <w:rPr>
          <w:rFonts w:hint="eastAsia"/>
        </w:rPr>
        <w:t>履职所需</w:t>
      </w:r>
      <w:r>
        <w:rPr>
          <w:rFonts w:hint="eastAsia"/>
          <w:lang w:val="en-US" w:eastAsia="zh-CN"/>
        </w:rPr>
        <w:t>。</w:t>
      </w:r>
    </w:p>
    <w:p w14:paraId="4AB2D92B">
      <w:pPr>
        <w:numPr>
          <w:ilvl w:val="0"/>
          <w:numId w:val="0"/>
        </w:numPr>
        <w:bidi w:val="0"/>
        <w:ind w:firstLine="640" w:firstLineChars="200"/>
        <w:rPr>
          <w:rFonts w:hint="eastAsia"/>
          <w:lang w:val="en-US" w:eastAsia="zh-CN"/>
        </w:rPr>
      </w:pPr>
      <w:r>
        <w:rPr>
          <w:rFonts w:hint="eastAsia"/>
          <w:lang w:val="en-US" w:eastAsia="zh-CN"/>
        </w:rPr>
        <w:t>综上所述，该项目立项依据充分，根据评分标准，该指标不扣分，得3分。</w:t>
      </w:r>
    </w:p>
    <w:p w14:paraId="0C90F542">
      <w:pPr>
        <w:numPr>
          <w:ilvl w:val="0"/>
          <w:numId w:val="2"/>
        </w:numPr>
        <w:bidi w:val="0"/>
        <w:rPr>
          <w:rFonts w:hint="eastAsia"/>
          <w:lang w:val="en-US" w:eastAsia="zh-CN"/>
        </w:rPr>
      </w:pPr>
      <w:r>
        <w:rPr>
          <w:rFonts w:hint="eastAsia"/>
          <w:lang w:val="en-US" w:eastAsia="zh-CN"/>
        </w:rPr>
        <w:t>立项程序规范性：该</w:t>
      </w:r>
      <w:r>
        <w:rPr>
          <w:rFonts w:hint="eastAsia"/>
        </w:rPr>
        <w:t>项目为非基础建设类项目，不涉及发改立项批复流程，由</w:t>
      </w:r>
      <w:r>
        <w:rPr>
          <w:rFonts w:hint="eastAsia"/>
          <w:lang w:eastAsia="zh-CN"/>
        </w:rPr>
        <w:t>莎车县社会保险中心</w:t>
      </w:r>
      <w:r>
        <w:rPr>
          <w:rFonts w:hint="eastAsia"/>
        </w:rPr>
        <w:t>自行编制项目实施方案和项目预算申请计划</w:t>
      </w:r>
      <w:r>
        <w:rPr>
          <w:rFonts w:hint="eastAsia"/>
          <w:lang w:eastAsia="zh-CN"/>
        </w:rPr>
        <w:t>；</w:t>
      </w:r>
      <w:r>
        <w:rPr>
          <w:rFonts w:hint="eastAsia"/>
        </w:rPr>
        <w:t>经查看，</w:t>
      </w:r>
      <w:r>
        <w:rPr>
          <w:rFonts w:hint="eastAsia"/>
          <w:lang w:eastAsia="zh-CN"/>
        </w:rPr>
        <w:t>该</w:t>
      </w:r>
      <w:r>
        <w:rPr>
          <w:rFonts w:hint="eastAsia"/>
        </w:rPr>
        <w:t>项目申请设立过</w:t>
      </w:r>
      <w:r>
        <w:rPr>
          <w:rFonts w:hint="eastAsia"/>
          <w:lang w:eastAsia="zh-CN"/>
        </w:rPr>
        <w:t>程中</w:t>
      </w:r>
      <w:r>
        <w:rPr>
          <w:rFonts w:hint="eastAsia"/>
        </w:rPr>
        <w:t>产生的相关文件，符合相关要求。</w:t>
      </w:r>
      <w:r>
        <w:rPr>
          <w:rFonts w:hint="eastAsia"/>
          <w:lang w:eastAsia="zh-CN"/>
        </w:rPr>
        <w:t>该项目属于专项资金安排项目，</w:t>
      </w:r>
      <w:r>
        <w:rPr>
          <w:rFonts w:hint="eastAsia"/>
        </w:rPr>
        <w:t>由</w:t>
      </w:r>
      <w:r>
        <w:rPr>
          <w:rFonts w:hint="eastAsia"/>
          <w:lang w:eastAsia="zh-CN"/>
        </w:rPr>
        <w:t>莎车县社会保险中心</w:t>
      </w:r>
      <w:r>
        <w:rPr>
          <w:rFonts w:hint="eastAsia"/>
        </w:rPr>
        <w:t>严格按照《关于建立自治区城乡居民基本养老保险待遇确定和基础养老金正常调整机制的实施意见》（新人社发〔2018〕43号）文件要求实</w:t>
      </w:r>
      <w:r>
        <w:rPr>
          <w:rFonts w:hint="eastAsia"/>
          <w:lang w:val="en-US" w:eastAsia="zh-CN"/>
        </w:rPr>
        <w:t>施</w:t>
      </w:r>
      <w:r>
        <w:rPr>
          <w:rFonts w:hint="eastAsia"/>
          <w:lang w:eastAsia="zh-CN"/>
        </w:rPr>
        <w:t>，</w:t>
      </w:r>
      <w:r>
        <w:rPr>
          <w:rFonts w:hint="eastAsia"/>
          <w:lang w:val="en-US" w:eastAsia="zh-CN"/>
        </w:rPr>
        <w:t>根据决策依据编制工作计划和经费预算，经过与各部门县政府分管领导进行沟通、筛选确定经费预算计划，上党委会研究确定最终预算方案，由莎车县社会保险中心制定方案提出申请，地区审核批准后实施。</w:t>
      </w:r>
    </w:p>
    <w:p w14:paraId="50758447">
      <w:pPr>
        <w:numPr>
          <w:ilvl w:val="0"/>
          <w:numId w:val="0"/>
        </w:numPr>
        <w:bidi w:val="0"/>
        <w:ind w:firstLine="640" w:firstLineChars="200"/>
        <w:rPr>
          <w:rFonts w:hint="eastAsia"/>
          <w:lang w:val="en-US" w:eastAsia="zh-CN"/>
        </w:rPr>
      </w:pPr>
      <w:r>
        <w:rPr>
          <w:rFonts w:hint="eastAsia"/>
          <w:lang w:val="en-US" w:eastAsia="zh-CN"/>
        </w:rPr>
        <w:t>综上所述，该项目立项程序规范，根据评分标准，该指标不扣分，得2分。</w:t>
      </w:r>
    </w:p>
    <w:p w14:paraId="51106813">
      <w:pPr>
        <w:numPr>
          <w:ilvl w:val="0"/>
          <w:numId w:val="0"/>
        </w:numPr>
        <w:bidi w:val="0"/>
        <w:ind w:firstLine="640" w:firstLineChars="200"/>
        <w:rPr>
          <w:rFonts w:hint="eastAsia"/>
          <w:lang w:val="en-US" w:eastAsia="zh-CN"/>
        </w:rPr>
      </w:pPr>
      <w:r>
        <w:rPr>
          <w:rFonts w:hint="eastAsia"/>
          <w:lang w:val="en-US" w:eastAsia="zh-CN"/>
        </w:rPr>
        <w:t>（3）绩效目标合理性：该项目工作任务目标合理，制定了2025年城乡居民养老保险支出项目实施方案，该</w:t>
      </w:r>
      <w:r>
        <w:rPr>
          <w:rFonts w:hint="eastAsia"/>
        </w:rPr>
        <w:t>项目已设置年度绩效目标</w:t>
      </w:r>
      <w:r>
        <w:rPr>
          <w:rFonts w:hint="eastAsia"/>
          <w:lang w:eastAsia="zh-CN"/>
        </w:rPr>
        <w:t>，具体内容为“项目共下达资金19538.19万元，对符合条件的65196名城乡老年居民发放12次基础养老金，发放4352人丧葬费，个人账户支出52518人，转移支出202人，其他支出109人，通过项目实施，保障养老保险参保人员待遇，保障老年人生活水平与质量”，</w:t>
      </w:r>
      <w:r>
        <w:rPr>
          <w:rFonts w:hint="eastAsia"/>
          <w:lang w:val="en-US" w:eastAsia="zh-CN"/>
        </w:rPr>
        <w:t>明确了总体思路及目标、并对任务进行了详细分解，对目标进行了细化</w:t>
      </w:r>
      <w:r>
        <w:rPr>
          <w:rFonts w:hint="eastAsia"/>
          <w:lang w:eastAsia="zh-CN"/>
        </w:rPr>
        <w:t>；该</w:t>
      </w:r>
      <w:r>
        <w:rPr>
          <w:rFonts w:hint="eastAsia"/>
        </w:rPr>
        <w:t>项目实际工作为</w:t>
      </w:r>
      <w:r>
        <w:rPr>
          <w:rFonts w:hint="eastAsia"/>
          <w:lang w:eastAsia="zh-CN"/>
        </w:rPr>
        <w:t>：项目资金支出19538.19万元，完成对符合条件的65196名城乡老年居民发放12次基础养老金，发放丧葬费4352人，个人账户支出52518人，转移支出202人，其他支出109人，有效保障养老保险参保人员待遇，保障老人生活水平与质量；</w:t>
      </w:r>
      <w:r>
        <w:rPr>
          <w:rFonts w:hint="eastAsia"/>
        </w:rPr>
        <w:t>绩效目标与实际工作内容一致，两者具有相关性</w:t>
      </w:r>
      <w:r>
        <w:rPr>
          <w:rFonts w:hint="eastAsia"/>
          <w:lang w:eastAsia="zh-CN"/>
        </w:rPr>
        <w:t>；该</w:t>
      </w:r>
      <w:r>
        <w:rPr>
          <w:rFonts w:hint="eastAsia"/>
        </w:rPr>
        <w:t>项目按照绩效目标完成数量指标、质量指标、时效指标、成本指标，确保了符合待遇领取条件的城乡参保居民能够按时足额领取补助资金，改善了补助人群生活质量，年度绩效目标完成，预期产出效益和效果符合正常的业绩水平</w:t>
      </w:r>
      <w:r>
        <w:rPr>
          <w:rFonts w:hint="eastAsia"/>
          <w:lang w:val="en-US" w:eastAsia="zh-CN"/>
        </w:rPr>
        <w:t>。</w:t>
      </w:r>
    </w:p>
    <w:p w14:paraId="0D0BA160">
      <w:pPr>
        <w:numPr>
          <w:ilvl w:val="0"/>
          <w:numId w:val="0"/>
        </w:numPr>
        <w:bidi w:val="0"/>
        <w:ind w:firstLine="640" w:firstLineChars="200"/>
        <w:rPr>
          <w:rFonts w:hint="eastAsia"/>
          <w:lang w:val="en-US" w:eastAsia="zh-CN"/>
        </w:rPr>
      </w:pPr>
      <w:r>
        <w:rPr>
          <w:rFonts w:hint="eastAsia"/>
          <w:lang w:val="en-US" w:eastAsia="zh-CN"/>
        </w:rPr>
        <w:t>综上所述，该项目绩效目标设置合理，根据评分标准，该指标不扣分，得3分。</w:t>
      </w:r>
    </w:p>
    <w:p w14:paraId="60E64DCF">
      <w:pPr>
        <w:numPr>
          <w:ilvl w:val="0"/>
          <w:numId w:val="0"/>
        </w:numPr>
        <w:bidi w:val="0"/>
        <w:ind w:firstLine="640" w:firstLineChars="200"/>
        <w:rPr>
          <w:rFonts w:hint="eastAsia"/>
          <w:lang w:val="en-US" w:eastAsia="zh-CN"/>
        </w:rPr>
      </w:pPr>
      <w:r>
        <w:rPr>
          <w:rFonts w:hint="eastAsia"/>
          <w:lang w:val="en-US" w:eastAsia="zh-CN"/>
        </w:rPr>
        <w:t>（4）绩效指标明确性：通过查看该项目《绩效目标申报表》与《项目实施方案》，得出如下结论，该</w:t>
      </w:r>
      <w:r>
        <w:rPr>
          <w:rFonts w:hint="eastAsia"/>
        </w:rPr>
        <w:t>项目已将年度绩效目标进行细化为绩效指标体系，共设置一级指标</w:t>
      </w:r>
      <w:r>
        <w:rPr>
          <w:rFonts w:hint="eastAsia"/>
          <w:lang w:val="en-US" w:eastAsia="zh-CN"/>
        </w:rPr>
        <w:t>4</w:t>
      </w:r>
      <w:r>
        <w:rPr>
          <w:rFonts w:hint="eastAsia"/>
        </w:rPr>
        <w:t>个，二级指标</w:t>
      </w:r>
      <w:r>
        <w:rPr>
          <w:rFonts w:hint="eastAsia"/>
          <w:lang w:val="en-US" w:eastAsia="zh-CN"/>
        </w:rPr>
        <w:t>6</w:t>
      </w:r>
      <w:r>
        <w:rPr>
          <w:rFonts w:hint="eastAsia"/>
        </w:rPr>
        <w:t>个，三级指标1</w:t>
      </w:r>
      <w:r>
        <w:rPr>
          <w:rFonts w:hint="eastAsia"/>
          <w:lang w:val="en-US" w:eastAsia="zh-CN"/>
        </w:rPr>
        <w:t>6</w:t>
      </w:r>
      <w:r>
        <w:rPr>
          <w:rFonts w:hint="eastAsia"/>
        </w:rPr>
        <w:t>个，定量指标</w:t>
      </w:r>
      <w:r>
        <w:rPr>
          <w:rFonts w:hint="eastAsia"/>
          <w:lang w:val="en-US" w:eastAsia="zh-CN"/>
        </w:rPr>
        <w:t>15</w:t>
      </w:r>
      <w:r>
        <w:rPr>
          <w:rFonts w:hint="eastAsia"/>
        </w:rPr>
        <w:t>个，定性指标</w:t>
      </w:r>
      <w:r>
        <w:rPr>
          <w:rFonts w:hint="eastAsia"/>
          <w:lang w:val="en-US" w:eastAsia="zh-CN"/>
        </w:rPr>
        <w:t>1</w:t>
      </w:r>
      <w:r>
        <w:rPr>
          <w:rFonts w:hint="eastAsia"/>
        </w:rPr>
        <w:t>个，指标量化率为</w:t>
      </w:r>
      <w:r>
        <w:rPr>
          <w:rFonts w:hint="eastAsia"/>
          <w:lang w:val="en-US" w:eastAsia="zh-CN"/>
        </w:rPr>
        <w:t>93.75</w:t>
      </w:r>
      <w:r>
        <w:rPr>
          <w:rFonts w:hint="eastAsia"/>
        </w:rPr>
        <w:t>%，量化率达70.00%</w:t>
      </w:r>
      <w:r>
        <w:rPr>
          <w:rFonts w:hint="eastAsia"/>
          <w:lang w:eastAsia="zh-CN"/>
        </w:rPr>
        <w:t>以上</w:t>
      </w:r>
      <w:r>
        <w:rPr>
          <w:rFonts w:hint="eastAsia"/>
        </w:rPr>
        <w:t>。</w:t>
      </w:r>
      <w:r>
        <w:rPr>
          <w:rFonts w:hint="eastAsia"/>
          <w:lang w:eastAsia="zh-CN"/>
        </w:rPr>
        <w:t>莎车县社会保险中心已将该项目</w:t>
      </w:r>
      <w:r>
        <w:rPr>
          <w:rFonts w:hint="eastAsia"/>
          <w:lang w:val="en-US" w:eastAsia="zh-CN"/>
        </w:rPr>
        <w:t>核心内容细化分解为具体的绩效指标，绩效指标明确。</w:t>
      </w:r>
    </w:p>
    <w:p w14:paraId="0A849125">
      <w:pPr>
        <w:numPr>
          <w:ilvl w:val="0"/>
          <w:numId w:val="0"/>
        </w:numPr>
        <w:bidi w:val="0"/>
        <w:ind w:firstLine="640" w:firstLineChars="200"/>
        <w:rPr>
          <w:rFonts w:hint="eastAsia"/>
          <w:lang w:val="en-US" w:eastAsia="zh-CN"/>
        </w:rPr>
      </w:pPr>
      <w:r>
        <w:rPr>
          <w:rFonts w:hint="eastAsia"/>
          <w:lang w:val="en-US" w:eastAsia="zh-CN"/>
        </w:rPr>
        <w:t>综上所述，该项目所设置绩效指标明确，根据评分标准，该指标不扣分，得2分。</w:t>
      </w:r>
    </w:p>
    <w:p w14:paraId="3616A450">
      <w:pPr>
        <w:numPr>
          <w:ilvl w:val="0"/>
          <w:numId w:val="0"/>
        </w:numPr>
        <w:bidi w:val="0"/>
        <w:ind w:firstLine="640" w:firstLineChars="200"/>
        <w:rPr>
          <w:rFonts w:hint="eastAsia"/>
          <w:lang w:val="en-US" w:eastAsia="zh-CN"/>
        </w:rPr>
      </w:pPr>
      <w:r>
        <w:rPr>
          <w:rFonts w:hint="eastAsia"/>
          <w:lang w:val="en-US" w:eastAsia="zh-CN"/>
        </w:rPr>
        <w:t>（5）预算编制科学性：通过查看项目预算编制草案，该</w:t>
      </w:r>
      <w:r>
        <w:rPr>
          <w:rFonts w:hint="eastAsia"/>
        </w:rPr>
        <w:t>项目预算编制根据</w:t>
      </w:r>
      <w:r>
        <w:rPr>
          <w:rFonts w:hint="eastAsia"/>
          <w:lang w:eastAsia="zh-CN"/>
        </w:rPr>
        <w:t>中央、</w:t>
      </w:r>
      <w:r>
        <w:rPr>
          <w:rFonts w:hint="eastAsia"/>
        </w:rPr>
        <w:t>自治区补助标准，结合上年度数据安排预算</w:t>
      </w:r>
      <w:r>
        <w:rPr>
          <w:rFonts w:hint="eastAsia"/>
          <w:lang w:eastAsia="zh-CN"/>
        </w:rPr>
        <w:t>资金</w:t>
      </w:r>
      <w:r>
        <w:rPr>
          <w:rFonts w:hint="eastAsia"/>
          <w:lang w:val="en-US" w:eastAsia="zh-CN"/>
        </w:rPr>
        <w:t>19538.19万元</w:t>
      </w:r>
      <w:r>
        <w:rPr>
          <w:rFonts w:hint="eastAsia"/>
        </w:rPr>
        <w:t>，预算编制较科学且经过论证</w:t>
      </w:r>
      <w:r>
        <w:rPr>
          <w:rFonts w:hint="eastAsia"/>
          <w:lang w:val="en-US" w:eastAsia="zh-CN"/>
        </w:rPr>
        <w:t>；该项目预算申请内容为</w:t>
      </w:r>
      <w:r>
        <w:rPr>
          <w:rFonts w:hint="eastAsia"/>
          <w:lang w:eastAsia="zh-CN"/>
        </w:rPr>
        <w:t>对符合条件的城乡老年居民按月发放基础养老金，年累计发放</w:t>
      </w:r>
      <w:r>
        <w:rPr>
          <w:rFonts w:hint="eastAsia"/>
          <w:lang w:val="en-US" w:eastAsia="zh-CN"/>
        </w:rPr>
        <w:t>12次；发放丧葬补助金、保障个人账户支出、转移支出、其他支出等</w:t>
      </w:r>
      <w:r>
        <w:rPr>
          <w:rFonts w:hint="eastAsia"/>
          <w:lang w:eastAsia="zh-CN"/>
        </w:rPr>
        <w:t>，项目实际内容为按月支付城乡居民养老待遇，并</w:t>
      </w:r>
      <w:r>
        <w:rPr>
          <w:rFonts w:hint="eastAsia"/>
          <w:lang w:val="en-US" w:eastAsia="zh-CN"/>
        </w:rPr>
        <w:t>发放丧葬补助金，保障个人账户支出、转移支出、其他支出等</w:t>
      </w:r>
      <w:r>
        <w:rPr>
          <w:rFonts w:hint="eastAsia"/>
          <w:lang w:eastAsia="zh-CN"/>
        </w:rPr>
        <w:t>，</w:t>
      </w:r>
      <w:r>
        <w:rPr>
          <w:rFonts w:hint="eastAsia"/>
        </w:rPr>
        <w:t>预算申请与</w:t>
      </w:r>
      <w:r>
        <w:rPr>
          <w:rFonts w:hint="eastAsia"/>
          <w:lang w:eastAsia="zh-CN"/>
        </w:rPr>
        <w:t>《2025年城乡居民养老保险支出项目实施方案》</w:t>
      </w:r>
      <w:r>
        <w:rPr>
          <w:rFonts w:hint="eastAsia"/>
        </w:rPr>
        <w:t>中涉及的项目内容匹配</w:t>
      </w:r>
      <w:r>
        <w:rPr>
          <w:rFonts w:hint="eastAsia"/>
          <w:lang w:eastAsia="zh-CN"/>
        </w:rPr>
        <w:t>；</w:t>
      </w:r>
      <w:r>
        <w:rPr>
          <w:rFonts w:hint="eastAsia"/>
          <w:lang w:val="en-US" w:eastAsia="zh-CN"/>
        </w:rPr>
        <w:t>该项目预算编制经过科学论证，内容与项目内容匹配，项目投资额与工作任务相匹配。</w:t>
      </w:r>
    </w:p>
    <w:p w14:paraId="7B165805">
      <w:pPr>
        <w:numPr>
          <w:ilvl w:val="0"/>
          <w:numId w:val="0"/>
        </w:numPr>
        <w:bidi w:val="0"/>
        <w:ind w:firstLine="640" w:firstLineChars="200"/>
        <w:rPr>
          <w:rFonts w:hint="eastAsia"/>
          <w:lang w:val="en-US" w:eastAsia="zh-CN"/>
        </w:rPr>
      </w:pPr>
      <w:r>
        <w:rPr>
          <w:rFonts w:hint="eastAsia"/>
          <w:lang w:val="en-US" w:eastAsia="zh-CN"/>
        </w:rPr>
        <w:t>综上所述，该项目预算编制经过科学论证，根据评分标准，该指标不扣分，得5分。</w:t>
      </w:r>
    </w:p>
    <w:p w14:paraId="499062ED">
      <w:pPr>
        <w:numPr>
          <w:ilvl w:val="0"/>
          <w:numId w:val="0"/>
        </w:numPr>
        <w:bidi w:val="0"/>
        <w:ind w:firstLine="640" w:firstLineChars="200"/>
        <w:rPr>
          <w:rFonts w:hint="eastAsia"/>
          <w:lang w:val="en-US" w:eastAsia="zh-CN"/>
        </w:rPr>
      </w:pPr>
      <w:r>
        <w:rPr>
          <w:rFonts w:hint="eastAsia"/>
          <w:lang w:val="en-US" w:eastAsia="zh-CN"/>
        </w:rPr>
        <w:t>（6）资金分配合理性：</w:t>
      </w:r>
      <w:r>
        <w:rPr>
          <w:rFonts w:hint="eastAsia"/>
          <w:lang w:eastAsia="zh-CN"/>
        </w:rPr>
        <w:t>该</w:t>
      </w:r>
      <w:r>
        <w:rPr>
          <w:rFonts w:hint="eastAsia"/>
        </w:rPr>
        <w:t>项目实际分配资金以</w:t>
      </w:r>
      <w:r>
        <w:rPr>
          <w:rFonts w:hint="eastAsia"/>
          <w:lang w:eastAsia="zh-CN"/>
        </w:rPr>
        <w:t>中央、</w:t>
      </w:r>
      <w:r>
        <w:rPr>
          <w:rFonts w:hint="eastAsia"/>
        </w:rPr>
        <w:t>自治区补助标准，结合上年度数据安排预算</w:t>
      </w:r>
      <w:r>
        <w:rPr>
          <w:rFonts w:hint="eastAsia"/>
          <w:lang w:eastAsia="zh-CN"/>
        </w:rPr>
        <w:t>，根据</w:t>
      </w:r>
      <w:r>
        <w:rPr>
          <w:rFonts w:hint="eastAsia"/>
        </w:rPr>
        <w:t>《关于印发自治区建立统一的城乡居民基本养老保险制度实施办法的通知》（新政发〔2014〕76号）、《关于建立自治区城乡居民基本养老保险待遇确定和基础养老金正常调整机制的实施意见》（新人社发〔2018〕43号）文件为依据，预算资金分配依据充分。根据财政综合管理信息系统指标额度显示，</w:t>
      </w:r>
      <w:r>
        <w:rPr>
          <w:rFonts w:hint="eastAsia"/>
          <w:lang w:eastAsia="zh-CN"/>
        </w:rPr>
        <w:t>该</w:t>
      </w:r>
      <w:r>
        <w:rPr>
          <w:rFonts w:hint="eastAsia"/>
        </w:rPr>
        <w:t>项目实际到位资金</w:t>
      </w:r>
      <w:r>
        <w:rPr>
          <w:rFonts w:hint="eastAsia"/>
          <w:lang w:val="en-US" w:eastAsia="zh-CN"/>
        </w:rPr>
        <w:t>19538.19</w:t>
      </w:r>
      <w:r>
        <w:rPr>
          <w:rFonts w:hint="eastAsia"/>
        </w:rPr>
        <w:t>万元，实际分配资金与</w:t>
      </w:r>
      <w:r>
        <w:rPr>
          <w:rFonts w:hint="eastAsia"/>
          <w:lang w:eastAsia="zh-CN"/>
        </w:rPr>
        <w:t>莎车县社会保险中心</w:t>
      </w:r>
      <w:r>
        <w:rPr>
          <w:rFonts w:hint="eastAsia"/>
        </w:rPr>
        <w:t>提交申请的资金额度一致，资金分配额度合理，与</w:t>
      </w:r>
      <w:r>
        <w:rPr>
          <w:rFonts w:hint="eastAsia"/>
          <w:lang w:eastAsia="zh-CN"/>
        </w:rPr>
        <w:t>莎车县社会保险中心</w:t>
      </w:r>
      <w:r>
        <w:rPr>
          <w:rFonts w:hint="eastAsia"/>
        </w:rPr>
        <w:t>实际需求相适应。</w:t>
      </w:r>
      <w:r>
        <w:rPr>
          <w:rFonts w:hint="eastAsia"/>
          <w:lang w:eastAsia="zh-CN"/>
        </w:rPr>
        <w:t>该</w:t>
      </w:r>
      <w:r>
        <w:rPr>
          <w:rFonts w:hint="eastAsia"/>
        </w:rPr>
        <w:t>项目资金分配合理</w:t>
      </w:r>
      <w:r>
        <w:rPr>
          <w:rFonts w:hint="eastAsia"/>
          <w:lang w:val="en-US" w:eastAsia="zh-CN"/>
        </w:rPr>
        <w:t>，项目资金预算草案由莎车县社会保险中心制定，地区审核，资金分配与实际相适应。</w:t>
      </w:r>
    </w:p>
    <w:p w14:paraId="5EDC0ED9">
      <w:pPr>
        <w:numPr>
          <w:ilvl w:val="0"/>
          <w:numId w:val="0"/>
        </w:numPr>
        <w:bidi w:val="0"/>
        <w:ind w:firstLine="640" w:firstLineChars="200"/>
        <w:rPr>
          <w:rFonts w:hint="eastAsia"/>
          <w:lang w:val="en-US" w:eastAsia="zh-CN"/>
        </w:rPr>
      </w:pPr>
      <w:r>
        <w:rPr>
          <w:rFonts w:hint="eastAsia"/>
          <w:lang w:val="en-US" w:eastAsia="zh-CN"/>
        </w:rPr>
        <w:t>综上所述，该项目资金分配合理，根据评分标准，该指标不扣分，得5分。</w:t>
      </w:r>
    </w:p>
    <w:p w14:paraId="50E6F0A1">
      <w:pPr>
        <w:pStyle w:val="6"/>
        <w:bidi w:val="0"/>
        <w:rPr>
          <w:rFonts w:hint="eastAsia"/>
          <w:lang w:val="en-US" w:eastAsia="zh-CN"/>
        </w:rPr>
      </w:pPr>
      <w:bookmarkStart w:id="352" w:name="_Toc9523"/>
      <w:bookmarkStart w:id="353" w:name="_Toc27461"/>
      <w:bookmarkStart w:id="354" w:name="_Toc9743"/>
      <w:bookmarkStart w:id="355" w:name="_Toc10670"/>
      <w:bookmarkStart w:id="356" w:name="_Toc593"/>
      <w:bookmarkStart w:id="357" w:name="_Toc23255"/>
      <w:bookmarkStart w:id="358" w:name="_Toc31438"/>
      <w:bookmarkStart w:id="359" w:name="_Toc16558"/>
      <w:r>
        <w:rPr>
          <w:rFonts w:hint="eastAsia"/>
          <w:lang w:val="en-US" w:eastAsia="zh-CN"/>
        </w:rPr>
        <w:t>（二）项目过程情况</w:t>
      </w:r>
      <w:bookmarkEnd w:id="352"/>
      <w:bookmarkEnd w:id="353"/>
      <w:bookmarkEnd w:id="354"/>
      <w:bookmarkEnd w:id="355"/>
      <w:bookmarkEnd w:id="356"/>
      <w:bookmarkEnd w:id="357"/>
      <w:bookmarkEnd w:id="358"/>
      <w:bookmarkEnd w:id="359"/>
    </w:p>
    <w:p w14:paraId="75F810EE">
      <w:pPr>
        <w:bidi w:val="0"/>
        <w:rPr>
          <w:rFonts w:hint="eastAsia"/>
          <w:lang w:val="en-US" w:eastAsia="zh-CN"/>
        </w:rPr>
      </w:pPr>
      <w:r>
        <w:rPr>
          <w:rFonts w:hint="eastAsia"/>
          <w:lang w:val="en-US" w:eastAsia="zh-CN"/>
        </w:rPr>
        <w:t>项目过程类指标包括资金管理和组织实施两方面的内容，由5个三级指标构成，权重分为20分，实际得分19分，得分率为95%。</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32"/>
        <w:gridCol w:w="2110"/>
        <w:gridCol w:w="2110"/>
        <w:gridCol w:w="2111"/>
      </w:tblGrid>
      <w:tr w14:paraId="4B967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1367DA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rPr>
              <w:t>三级指标</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5074FA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权重</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98F02D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得分率</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CD294F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实际得分</w:t>
            </w:r>
          </w:p>
        </w:tc>
      </w:tr>
      <w:tr w14:paraId="6F0DA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9"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F31A1A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资金到位率</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F82464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2BDCE5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E2A1CA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333E7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69BEA5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预算执行率</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9CB249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6FD93C5">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0CA66D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5A27B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A7E28A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资金使用合规性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1CD3F2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4BC9D1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056E14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5033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74F284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管理制度健全性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A2E068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594D1A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24646C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2</w:t>
            </w:r>
          </w:p>
        </w:tc>
      </w:tr>
      <w:tr w14:paraId="6254B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92BAE2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制度执行</w:t>
            </w:r>
            <w:r>
              <w:rPr>
                <w:rFonts w:hint="eastAsia" w:ascii="Times New Roman" w:cs="方正仿宋_GBK"/>
                <w:color w:val="auto"/>
                <w:kern w:val="2"/>
                <w:sz w:val="28"/>
                <w:szCs w:val="22"/>
                <w:lang w:val="en-US" w:eastAsia="zh-CN" w:bidi="ar"/>
              </w:rPr>
              <w:t>有效性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061398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3</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603225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66.67</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D54C27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2</w:t>
            </w:r>
          </w:p>
        </w:tc>
      </w:tr>
      <w:tr w14:paraId="6A77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52F54C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合计</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DB884E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20</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02BCDD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95</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7D4CAA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19</w:t>
            </w:r>
          </w:p>
        </w:tc>
      </w:tr>
    </w:tbl>
    <w:p w14:paraId="5FF8B561">
      <w:pPr>
        <w:bidi w:val="0"/>
        <w:rPr>
          <w:rFonts w:hint="eastAsia"/>
          <w:lang w:val="en-US" w:eastAsia="zh-CN"/>
        </w:rPr>
      </w:pPr>
      <w:r>
        <w:rPr>
          <w:rFonts w:hint="eastAsia"/>
          <w:lang w:val="en-US" w:eastAsia="zh-CN"/>
        </w:rPr>
        <w:t>（1）</w:t>
      </w:r>
      <w:bookmarkStart w:id="360" w:name="OLE_LINK3"/>
      <w:r>
        <w:rPr>
          <w:rFonts w:hint="eastAsia"/>
          <w:lang w:val="en-US" w:eastAsia="zh-CN"/>
        </w:rPr>
        <w:t>资金到位率：该项目预算资金19538.19万元，其中：社会保险基金19538.19万元，实际到位资金19538.19万元</w:t>
      </w:r>
      <w:bookmarkEnd w:id="360"/>
      <w:r>
        <w:rPr>
          <w:rFonts w:hint="eastAsia"/>
          <w:lang w:val="en-US" w:eastAsia="zh-CN"/>
        </w:rPr>
        <w:t>，</w:t>
      </w:r>
      <w:r>
        <w:rPr>
          <w:rFonts w:hint="eastAsia"/>
        </w:rPr>
        <w:t>资金到位率=（实际到位资金/预算资金）×100.00%=（</w:t>
      </w:r>
      <w:r>
        <w:rPr>
          <w:rFonts w:hint="eastAsia"/>
          <w:lang w:val="en-US" w:eastAsia="zh-CN"/>
        </w:rPr>
        <w:t>19538.19</w:t>
      </w:r>
      <w:r>
        <w:rPr>
          <w:rFonts w:hint="eastAsia"/>
        </w:rPr>
        <w:t>/</w:t>
      </w:r>
      <w:r>
        <w:rPr>
          <w:rFonts w:hint="eastAsia"/>
          <w:lang w:val="en-US" w:eastAsia="zh-CN"/>
        </w:rPr>
        <w:t>19538.19</w:t>
      </w:r>
      <w:r>
        <w:rPr>
          <w:rFonts w:hint="eastAsia"/>
        </w:rPr>
        <w:t>）×100.00%</w:t>
      </w:r>
      <w:r>
        <w:rPr>
          <w:rFonts w:hint="eastAsia"/>
          <w:lang w:val="en-US" w:eastAsia="zh-CN"/>
        </w:rPr>
        <w:t>=</w:t>
      </w:r>
      <w:r>
        <w:rPr>
          <w:rFonts w:hint="eastAsia"/>
        </w:rPr>
        <w:t>100%</w:t>
      </w:r>
      <w:r>
        <w:rPr>
          <w:rFonts w:hint="eastAsia"/>
          <w:lang w:eastAsia="zh-CN"/>
        </w:rPr>
        <w:t>。</w:t>
      </w:r>
      <w:r>
        <w:rPr>
          <w:rFonts w:hint="eastAsia"/>
        </w:rPr>
        <w:t>得分=资金到位率×分值=100%×</w:t>
      </w:r>
      <w:r>
        <w:rPr>
          <w:rFonts w:hint="eastAsia"/>
          <w:lang w:val="en-US" w:eastAsia="zh-CN"/>
        </w:rPr>
        <w:t>5</w:t>
      </w:r>
      <w:r>
        <w:rPr>
          <w:rFonts w:hint="eastAsia"/>
        </w:rPr>
        <w:t>=</w:t>
      </w:r>
      <w:r>
        <w:rPr>
          <w:rFonts w:hint="eastAsia"/>
          <w:lang w:val="en-US" w:eastAsia="zh-CN"/>
        </w:rPr>
        <w:t>5</w:t>
      </w:r>
      <w:r>
        <w:rPr>
          <w:rFonts w:hint="eastAsia"/>
        </w:rPr>
        <w:t>分。</w:t>
      </w:r>
      <w:r>
        <w:rPr>
          <w:rFonts w:hint="eastAsia"/>
          <w:lang w:val="en-US" w:eastAsia="zh-CN"/>
        </w:rPr>
        <w:t>财政资金足额拨付到位，根据评分标准，该指标不扣分，得5分。</w:t>
      </w:r>
    </w:p>
    <w:p w14:paraId="429027C0">
      <w:pPr>
        <w:bidi w:val="0"/>
        <w:rPr>
          <w:rFonts w:hint="eastAsia"/>
          <w:lang w:val="en-US" w:eastAsia="zh-CN"/>
        </w:rPr>
      </w:pPr>
      <w:r>
        <w:rPr>
          <w:rFonts w:hint="eastAsia"/>
          <w:lang w:val="en-US" w:eastAsia="zh-CN"/>
        </w:rPr>
        <w:t>（2）预算执行率：通过查阅该项目会计凭证，该项目1月支付基础养老金及丧葬补助金等待遇支出1753.19万元，2月支付基础养老金及丧葬补助金等待遇支出1551.77万元，3月支付基础养老金及丧葬补助金等待遇支出1437.7万元，4月支付基础养老金及丧葬补助金等待遇支出1556.51万元，5月支付基础养老金及丧葬补助金等待遇支出1450.19万元，6月支付基础养老金及丧葬补助金等待遇支出1486.52万元，7月支付基础养老金及丧葬补助金等待遇支出1482.3万元，8月支付基础养老金及丧葬补助金等待遇支出1479.3万元，9月支付基础养老金及丧葬补助金等待遇支出1996.76万元，10月支付基础养老金及丧葬补助金等待遇支出1744.63万元，11月支付基础养老金及丧葬补助金等待遇支出1752.35万元，12月支付基础养老金及丧葬补助金等待遇支出1846.97万元。</w:t>
      </w:r>
      <w:r>
        <w:rPr>
          <w:rFonts w:hint="eastAsia"/>
        </w:rPr>
        <w:t>预算执行率=（实际支出资金/实际到位资金）×100.00%=（</w:t>
      </w:r>
      <w:r>
        <w:rPr>
          <w:rFonts w:hint="eastAsia"/>
          <w:lang w:val="en-US" w:eastAsia="zh-CN"/>
        </w:rPr>
        <w:t>19538.19</w:t>
      </w:r>
      <w:r>
        <w:rPr>
          <w:rFonts w:hint="eastAsia"/>
        </w:rPr>
        <w:t>/</w:t>
      </w:r>
      <w:r>
        <w:rPr>
          <w:rFonts w:hint="eastAsia"/>
          <w:lang w:val="en-US" w:eastAsia="zh-CN"/>
        </w:rPr>
        <w:t>19538.19</w:t>
      </w:r>
      <w:r>
        <w:rPr>
          <w:rFonts w:hint="eastAsia"/>
        </w:rPr>
        <w:t>）×100.00%=100%。得分=预算执行率×分值=100%×5=5分</w:t>
      </w:r>
      <w:r>
        <w:rPr>
          <w:rFonts w:hint="eastAsia"/>
          <w:lang w:eastAsia="zh-CN"/>
        </w:rPr>
        <w:t>。</w:t>
      </w:r>
      <w:r>
        <w:rPr>
          <w:rFonts w:hint="eastAsia"/>
          <w:lang w:val="en-US" w:eastAsia="zh-CN"/>
        </w:rPr>
        <w:t>该项目执行资金19538.19万元，执行率达100%。根据评分标准，该指标不扣分，得5分。</w:t>
      </w:r>
    </w:p>
    <w:p w14:paraId="02FF0704">
      <w:pPr>
        <w:bidi w:val="0"/>
        <w:rPr>
          <w:rFonts w:hint="eastAsia"/>
          <w:lang w:val="en-US" w:eastAsia="zh-CN"/>
        </w:rPr>
      </w:pPr>
      <w:r>
        <w:rPr>
          <w:rFonts w:hint="eastAsia"/>
          <w:lang w:val="en-US" w:eastAsia="zh-CN"/>
        </w:rPr>
        <w:t>（3）资金使用合规性：通过查阅单位会计原始凭证，项目资金由国库直接支付至财政专户，资金支出符合《关于建立自治区城乡居民基本养老保险待遇确定和基础养老金正常调整机制的实施意见》（新人社发〔2018〕43号）、《社会保险基金财务制度》（财社〔2017〕144号）文件要求，符合莎车县社会保险中心财务管理制度及国库集中支付制度，资金使用合规，根据评分标准，该指标不扣分，得5分。</w:t>
      </w:r>
    </w:p>
    <w:p w14:paraId="1E28B49C">
      <w:pPr>
        <w:bidi w:val="0"/>
        <w:rPr>
          <w:rFonts w:hint="eastAsia"/>
          <w:lang w:val="en-US" w:eastAsia="zh-CN"/>
        </w:rPr>
      </w:pPr>
      <w:r>
        <w:rPr>
          <w:rFonts w:hint="eastAsia"/>
          <w:lang w:val="en-US" w:eastAsia="zh-CN"/>
        </w:rPr>
        <w:t>（4）管理制度健全性：莎车县社会保险中心制定</w:t>
      </w:r>
      <w:r>
        <w:rPr>
          <w:rFonts w:hint="eastAsia"/>
        </w:rPr>
        <w:t>《</w:t>
      </w:r>
      <w:r>
        <w:rPr>
          <w:rFonts w:hint="eastAsia"/>
          <w:lang w:eastAsia="zh-CN"/>
        </w:rPr>
        <w:t>莎车县</w:t>
      </w:r>
      <w:r>
        <w:rPr>
          <w:rFonts w:hint="eastAsia"/>
        </w:rPr>
        <w:t>社会保险中心资金管理办法》《</w:t>
      </w:r>
      <w:r>
        <w:rPr>
          <w:rFonts w:hint="eastAsia"/>
          <w:lang w:eastAsia="zh-CN"/>
        </w:rPr>
        <w:t>莎车县</w:t>
      </w:r>
      <w:r>
        <w:rPr>
          <w:rFonts w:hint="eastAsia"/>
        </w:rPr>
        <w:t>社会保险中心收支业务管理制度》</w:t>
      </w:r>
      <w:r>
        <w:rPr>
          <w:rFonts w:hint="eastAsia"/>
          <w:lang w:eastAsia="zh-CN"/>
        </w:rPr>
        <w:t>《</w:t>
      </w:r>
      <w:r>
        <w:rPr>
          <w:rFonts w:hint="eastAsia"/>
          <w:lang w:val="en-US" w:eastAsia="zh-CN"/>
        </w:rPr>
        <w:t>莎车县社会保险中心财务管理制度</w:t>
      </w:r>
      <w:r>
        <w:rPr>
          <w:rFonts w:hint="eastAsia"/>
          <w:lang w:eastAsia="zh-CN"/>
        </w:rPr>
        <w:t>》</w:t>
      </w:r>
      <w:r>
        <w:rPr>
          <w:rFonts w:hint="eastAsia"/>
          <w:lang w:val="en-US" w:eastAsia="zh-CN"/>
        </w:rPr>
        <w:t>《莎车县社会保险中心社会保险经办内部控制制度》，对财政专项资金进行严格管理，做到了专款专用，根据评分标准，该指标不扣分，得2分。</w:t>
      </w:r>
    </w:p>
    <w:p w14:paraId="4CB6D747">
      <w:pPr>
        <w:bidi w:val="0"/>
        <w:rPr>
          <w:rFonts w:hint="eastAsia"/>
          <w:lang w:val="en-US" w:eastAsia="zh-CN"/>
        </w:rPr>
      </w:pPr>
      <w:r>
        <w:rPr>
          <w:rFonts w:hint="eastAsia"/>
          <w:lang w:val="en-US" w:eastAsia="zh-CN"/>
        </w:rPr>
        <w:t>（5）制度执行有效性：</w:t>
      </w:r>
      <w:r>
        <w:rPr>
          <w:rFonts w:hint="eastAsia"/>
        </w:rPr>
        <w:t>经对比分析</w:t>
      </w:r>
      <w:r>
        <w:rPr>
          <w:rFonts w:hint="eastAsia"/>
          <w:lang w:eastAsia="zh-CN"/>
        </w:rPr>
        <w:t>该</w:t>
      </w:r>
      <w:r>
        <w:rPr>
          <w:rFonts w:hint="eastAsia"/>
        </w:rPr>
        <w:t>项目实际执行过程资料和已建立的项目管理制度和财务管理制度，得出</w:t>
      </w:r>
      <w:r>
        <w:rPr>
          <w:rFonts w:hint="eastAsia"/>
          <w:lang w:eastAsia="zh-CN"/>
        </w:rPr>
        <w:t>该</w:t>
      </w:r>
      <w:r>
        <w:rPr>
          <w:rFonts w:hint="eastAsia"/>
        </w:rPr>
        <w:t>项目严格按照本单位已建立制度执行。项目资金支出严格按照</w:t>
      </w:r>
      <w:r>
        <w:rPr>
          <w:rFonts w:hint="eastAsia"/>
          <w:lang w:eastAsia="zh-CN"/>
        </w:rPr>
        <w:t>中央、</w:t>
      </w:r>
      <w:r>
        <w:rPr>
          <w:rFonts w:hint="eastAsia"/>
        </w:rPr>
        <w:t>自治区、地区、</w:t>
      </w:r>
      <w:r>
        <w:rPr>
          <w:rFonts w:hint="eastAsia"/>
          <w:lang w:eastAsia="zh-CN"/>
        </w:rPr>
        <w:t>县</w:t>
      </w:r>
      <w:r>
        <w:rPr>
          <w:rFonts w:hint="eastAsia"/>
        </w:rPr>
        <w:t>以及本单位资金管理办法执行，项目启动实施后，为了</w:t>
      </w:r>
      <w:r>
        <w:rPr>
          <w:rFonts w:hint="eastAsia"/>
          <w:lang w:eastAsia="zh-CN"/>
        </w:rPr>
        <w:t>加快该</w:t>
      </w:r>
      <w:r>
        <w:rPr>
          <w:rFonts w:hint="eastAsia"/>
        </w:rPr>
        <w:t>项目的实施，</w:t>
      </w:r>
      <w:r>
        <w:rPr>
          <w:rFonts w:hint="eastAsia"/>
          <w:lang w:eastAsia="zh-CN"/>
        </w:rPr>
        <w:t>莎车县社会保险中心</w:t>
      </w:r>
      <w:r>
        <w:rPr>
          <w:rFonts w:hint="eastAsia"/>
        </w:rPr>
        <w:t>成立了</w:t>
      </w:r>
      <w:r>
        <w:rPr>
          <w:rFonts w:hint="eastAsia"/>
          <w:lang w:eastAsia="zh-CN"/>
        </w:rPr>
        <w:t>2025年城乡居民养老保险支出项目</w:t>
      </w:r>
      <w:r>
        <w:rPr>
          <w:rFonts w:hint="eastAsia"/>
        </w:rPr>
        <w:t>工作领导小组，由社保中心</w:t>
      </w:r>
      <w:r>
        <w:rPr>
          <w:rFonts w:hint="eastAsia"/>
          <w:lang w:val="en-US" w:eastAsia="zh-CN"/>
        </w:rPr>
        <w:t>党支部书记、副主任陈春红</w:t>
      </w:r>
      <w:r>
        <w:rPr>
          <w:rFonts w:hint="eastAsia"/>
        </w:rPr>
        <w:t>任组长，负责项目组织工作；</w:t>
      </w:r>
      <w:r>
        <w:rPr>
          <w:rFonts w:hint="eastAsia"/>
          <w:lang w:val="en-US" w:eastAsia="zh-CN"/>
        </w:rPr>
        <w:t>王鹏、张波、沈康、何秀</w:t>
      </w:r>
      <w:r>
        <w:rPr>
          <w:rFonts w:hint="eastAsia"/>
        </w:rPr>
        <w:t>负责项目实施</w:t>
      </w:r>
      <w:r>
        <w:rPr>
          <w:rFonts w:hint="eastAsia"/>
          <w:lang w:eastAsia="zh-CN"/>
        </w:rPr>
        <w:t>、</w:t>
      </w:r>
      <w:r>
        <w:rPr>
          <w:rFonts w:hint="eastAsia"/>
        </w:rPr>
        <w:t>项目监督管理以及资金核拨等工作</w:t>
      </w:r>
      <w:r>
        <w:rPr>
          <w:rFonts w:hint="eastAsia"/>
          <w:lang w:eastAsia="zh-CN"/>
        </w:rPr>
        <w:t>。</w:t>
      </w:r>
      <w:r>
        <w:rPr>
          <w:rFonts w:hint="eastAsia"/>
          <w:lang w:val="en-US" w:eastAsia="zh-CN"/>
        </w:rPr>
        <w:t>部门提出经费预算支出可行性方案，经过与县政府分管领导沟通后，报党支部会议研究执行，财务对资金的使用合法合规性进行监督，年底对资金使用效果进行自评，该</w:t>
      </w:r>
      <w:r>
        <w:rPr>
          <w:rFonts w:hint="eastAsia"/>
        </w:rPr>
        <w:t>项目制度执行有效</w:t>
      </w:r>
      <w:r>
        <w:rPr>
          <w:rFonts w:hint="eastAsia"/>
          <w:lang w:eastAsia="zh-CN"/>
        </w:rPr>
        <w:t>，</w:t>
      </w:r>
      <w:r>
        <w:rPr>
          <w:rFonts w:hint="eastAsia"/>
          <w:lang w:val="en-US" w:eastAsia="zh-CN"/>
        </w:rPr>
        <w:t>严格按照社会保险中心财务管理制度和莎车县社会保险中心社会保险经办内部控制制度运行，项目监管有效，未出现履职不到位的情况，</w:t>
      </w:r>
      <w:r>
        <w:rPr>
          <w:rFonts w:hint="eastAsia"/>
        </w:rPr>
        <w:t>但在查看资料过程中，发现少量到龄参保群众因外出务工、不会线上操作、遗忘认证时限等原因，未按期完成年度资格核验，按照城乡居民养老保险管理相关规定，对该类人员临时暂停发放养老金；该类人员属于未完成认证、暂不满足当期待遇发放条件，</w:t>
      </w:r>
      <w:r>
        <w:rPr>
          <w:rFonts w:hint="eastAsia"/>
          <w:lang w:val="en-US" w:eastAsia="zh-CN"/>
        </w:rPr>
        <w:t>根据评分标准，该指标扣1分，得2分。</w:t>
      </w:r>
    </w:p>
    <w:p w14:paraId="72B5DD8D">
      <w:pPr>
        <w:pStyle w:val="6"/>
        <w:bidi w:val="0"/>
        <w:rPr>
          <w:rFonts w:hint="eastAsia"/>
          <w:lang w:val="en-US" w:eastAsia="zh-CN"/>
        </w:rPr>
      </w:pPr>
      <w:bookmarkStart w:id="361" w:name="_Toc18745"/>
      <w:bookmarkStart w:id="362" w:name="_Toc14041"/>
      <w:bookmarkStart w:id="363" w:name="_Toc29960"/>
      <w:bookmarkStart w:id="364" w:name="_Toc1023"/>
      <w:bookmarkStart w:id="365" w:name="_Toc1433"/>
      <w:bookmarkStart w:id="366" w:name="_Toc32350"/>
      <w:bookmarkStart w:id="367" w:name="_Toc19106"/>
      <w:bookmarkStart w:id="368" w:name="_Toc5216"/>
      <w:r>
        <w:rPr>
          <w:rFonts w:hint="eastAsia"/>
          <w:lang w:val="en-US" w:eastAsia="zh-CN"/>
        </w:rPr>
        <w:t>（三）项目产出情况</w:t>
      </w:r>
      <w:bookmarkEnd w:id="361"/>
      <w:bookmarkEnd w:id="362"/>
      <w:bookmarkEnd w:id="363"/>
      <w:bookmarkEnd w:id="364"/>
      <w:bookmarkEnd w:id="365"/>
      <w:bookmarkEnd w:id="366"/>
      <w:bookmarkEnd w:id="367"/>
      <w:bookmarkEnd w:id="368"/>
    </w:p>
    <w:p w14:paraId="0F270FAF">
      <w:pPr>
        <w:bidi w:val="0"/>
        <w:rPr>
          <w:rFonts w:hint="eastAsia"/>
          <w:lang w:val="en-US" w:eastAsia="zh-CN"/>
        </w:rPr>
      </w:pPr>
      <w:r>
        <w:rPr>
          <w:rFonts w:hint="eastAsia"/>
          <w:lang w:val="en-US" w:eastAsia="zh-CN"/>
        </w:rPr>
        <w:t>项目产出类指标包括产出数量、产出质量、产出时效、产出成本四方面的内容，由4个二级指标构成，权重分为40分，实际得分40分，得分率为100%。</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24"/>
        <w:gridCol w:w="1682"/>
        <w:gridCol w:w="2131"/>
        <w:gridCol w:w="1682"/>
      </w:tblGrid>
      <w:tr w14:paraId="6A12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D5E8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lang w:eastAsia="zh-CN"/>
              </w:rPr>
              <w:t>二</w:t>
            </w:r>
            <w:r>
              <w:rPr>
                <w:rFonts w:hint="eastAsia" w:ascii="Times New Roman" w:hAnsi="方正仿宋_GBK" w:eastAsia="方正仿宋_GBK" w:cs="方正仿宋_GBK"/>
                <w:color w:val="auto"/>
              </w:rPr>
              <w:t>级指标</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8699E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权重</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1042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得分率</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EE2B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实际得分</w:t>
            </w:r>
          </w:p>
        </w:tc>
      </w:tr>
      <w:tr w14:paraId="39897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3B7FC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产出数量</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C0EFA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1</w:t>
            </w:r>
            <w:r>
              <w:rPr>
                <w:rFonts w:hint="eastAsia" w:ascii="Times New Roman" w:hAnsi="Times New Roman" w:eastAsia="方正仿宋_GBK" w:cs="方正仿宋_GBK"/>
                <w:color w:val="auto"/>
                <w:kern w:val="2"/>
                <w:sz w:val="28"/>
                <w:szCs w:val="22"/>
                <w:lang w:val="en-US" w:eastAsia="zh-CN" w:bidi="ar"/>
              </w:rPr>
              <w:t>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88252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44B69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1</w:t>
            </w:r>
            <w:r>
              <w:rPr>
                <w:rFonts w:hint="eastAsia" w:ascii="Times New Roman" w:hAnsi="Times New Roman" w:eastAsia="方正仿宋_GBK" w:cs="方正仿宋_GBK"/>
                <w:color w:val="auto"/>
                <w:kern w:val="2"/>
                <w:sz w:val="28"/>
                <w:szCs w:val="22"/>
                <w:lang w:val="en-US" w:eastAsia="zh-CN" w:bidi="ar"/>
              </w:rPr>
              <w:t>0</w:t>
            </w:r>
          </w:p>
        </w:tc>
      </w:tr>
      <w:tr w14:paraId="1E168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94612">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产出质量</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9309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7A59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7320B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w:t>
            </w:r>
          </w:p>
        </w:tc>
      </w:tr>
      <w:tr w14:paraId="574BF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76B34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产出时效</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2B16B2">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20A0A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D6C1F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w:t>
            </w:r>
          </w:p>
        </w:tc>
      </w:tr>
      <w:tr w14:paraId="0FCED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45B1A5">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eastAsia" w:ascii="Times New Roman" w:hAnsi="方正仿宋_GBK" w:eastAsia="方正仿宋_GBK" w:cs="方正仿宋_GBK"/>
                <w:color w:val="auto"/>
                <w:kern w:val="2"/>
                <w:sz w:val="28"/>
                <w:szCs w:val="22"/>
                <w:lang w:val="en-US" w:eastAsia="zh-CN" w:bidi="ar"/>
              </w:rPr>
            </w:pPr>
            <w:r>
              <w:rPr>
                <w:rFonts w:hint="eastAsia" w:ascii="Times New Roman" w:cs="方正仿宋_GBK"/>
                <w:color w:val="auto"/>
                <w:kern w:val="2"/>
                <w:sz w:val="28"/>
                <w:szCs w:val="22"/>
                <w:lang w:val="en-US" w:eastAsia="zh-CN" w:bidi="ar"/>
              </w:rPr>
              <w:t>产出成本</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4F789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Times New Roman" w:eastAsia="方正仿宋_GBK" w:cs="方正仿宋_GBK"/>
                <w:color w:val="auto"/>
                <w:kern w:val="2"/>
                <w:sz w:val="28"/>
                <w:szCs w:val="22"/>
                <w:lang w:val="en-US" w:eastAsia="zh-CN" w:bidi="ar"/>
              </w:rPr>
            </w:pPr>
            <w:r>
              <w:rPr>
                <w:rFonts w:hint="eastAsia" w:ascii="Times New Roman" w:hAnsi="Times New Roman" w:cs="方正仿宋_GBK"/>
                <w:color w:val="auto"/>
                <w:kern w:val="2"/>
                <w:sz w:val="28"/>
                <w:szCs w:val="22"/>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59458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Times New Roman" w:eastAsia="方正仿宋_GBK" w:cs="方正仿宋_GBK"/>
                <w:color w:val="auto"/>
                <w:kern w:val="2"/>
                <w:sz w:val="28"/>
                <w:szCs w:val="22"/>
                <w:lang w:val="en-US" w:eastAsia="zh-CN" w:bidi="ar"/>
              </w:rPr>
            </w:pPr>
            <w:r>
              <w:rPr>
                <w:rFonts w:hint="eastAsia" w:ascii="Times New Roman" w:hAnsi="Times New Roman" w:cs="方正仿宋_GBK"/>
                <w:color w:val="auto"/>
                <w:kern w:val="2"/>
                <w:sz w:val="28"/>
                <w:szCs w:val="22"/>
                <w:lang w:val="en-US" w:eastAsia="zh-CN" w:bidi="ar"/>
              </w:rPr>
              <w:t>100%</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0B9D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Times New Roman" w:eastAsia="方正仿宋_GBK" w:cs="方正仿宋_GBK"/>
                <w:color w:val="auto"/>
                <w:kern w:val="2"/>
                <w:sz w:val="28"/>
                <w:szCs w:val="22"/>
                <w:lang w:val="en-US" w:eastAsia="zh-CN" w:bidi="ar"/>
              </w:rPr>
            </w:pPr>
            <w:r>
              <w:rPr>
                <w:rFonts w:hint="eastAsia" w:ascii="Times New Roman" w:hAnsi="Times New Roman" w:cs="方正仿宋_GBK"/>
                <w:color w:val="auto"/>
                <w:kern w:val="2"/>
                <w:sz w:val="28"/>
                <w:szCs w:val="22"/>
                <w:lang w:val="en-US" w:eastAsia="zh-CN" w:bidi="ar"/>
              </w:rPr>
              <w:t>10</w:t>
            </w:r>
          </w:p>
        </w:tc>
      </w:tr>
      <w:tr w14:paraId="3B039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91AC5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合计</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96165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40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AA21C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0014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40</w:t>
            </w:r>
          </w:p>
        </w:tc>
      </w:tr>
    </w:tbl>
    <w:p w14:paraId="284F7DCB">
      <w:pPr>
        <w:pStyle w:val="7"/>
        <w:bidi w:val="0"/>
        <w:rPr>
          <w:rFonts w:hint="default"/>
          <w:lang w:val="en-US" w:eastAsia="zh-CN"/>
        </w:rPr>
      </w:pPr>
      <w:bookmarkStart w:id="369" w:name="_Toc27279"/>
      <w:bookmarkStart w:id="370" w:name="_Toc2677"/>
      <w:r>
        <w:rPr>
          <w:rFonts w:hint="eastAsia"/>
          <w:lang w:val="en-US" w:eastAsia="zh-CN"/>
        </w:rPr>
        <w:t>1.对于“产出数量”</w:t>
      </w:r>
      <w:bookmarkEnd w:id="369"/>
      <w:bookmarkEnd w:id="370"/>
    </w:p>
    <w:p w14:paraId="1DDC951B">
      <w:pPr>
        <w:bidi w:val="0"/>
        <w:rPr>
          <w:rFonts w:hint="eastAsia"/>
          <w:lang w:val="en-US" w:eastAsia="zh-CN"/>
        </w:rPr>
      </w:pPr>
      <w:r>
        <w:rPr>
          <w:rFonts w:hint="eastAsia"/>
          <w:lang w:val="en-US" w:eastAsia="zh-CN"/>
        </w:rPr>
        <w:t>符合条件的城乡老年居民基础养老金发放次数指标，预期目标为等于12次，通过查看2025年城乡居民养老保险支出项目情况说明，该指标实际完成12次，指标完成率100%。</w:t>
      </w:r>
      <w:bookmarkStart w:id="371" w:name="OLE_LINK4"/>
      <w:r>
        <w:rPr>
          <w:rFonts w:hint="eastAsia"/>
          <w:lang w:val="en-US" w:eastAsia="zh-CN"/>
        </w:rPr>
        <w:t>所设分值为2分，实际得分为2分。</w:t>
      </w:r>
    </w:p>
    <w:bookmarkEnd w:id="371"/>
    <w:p w14:paraId="098CB225">
      <w:pPr>
        <w:bidi w:val="0"/>
        <w:rPr>
          <w:rFonts w:hint="eastAsia"/>
          <w:lang w:val="en-US" w:eastAsia="zh-CN"/>
        </w:rPr>
      </w:pPr>
      <w:r>
        <w:rPr>
          <w:rFonts w:hint="eastAsia"/>
          <w:lang w:val="en-US" w:eastAsia="zh-CN"/>
        </w:rPr>
        <w:t>城乡待遇发放人数指标，预期目标为大于等于65196人，通过查看城乡居民基本养老保险情况统计表，该指标实际完成65196人，指标完成率100%。所设分值为2分，实际得分为2分。</w:t>
      </w:r>
    </w:p>
    <w:p w14:paraId="2A553AC6">
      <w:pPr>
        <w:bidi w:val="0"/>
        <w:rPr>
          <w:rFonts w:hint="eastAsia"/>
          <w:lang w:val="en-US" w:eastAsia="zh-CN"/>
        </w:rPr>
      </w:pPr>
      <w:r>
        <w:rPr>
          <w:rFonts w:hint="eastAsia"/>
          <w:lang w:val="en-US" w:eastAsia="zh-CN"/>
        </w:rPr>
        <w:t>丧葬发放人数指标，预期目标为大于等于4352人，通过查看莎车县城乡居民养老保险发放丧葬费明细表，该指标实际完成4352人，指标完成率100%。所设分值为2分，实际得分为2分。</w:t>
      </w:r>
    </w:p>
    <w:p w14:paraId="49630A35">
      <w:pPr>
        <w:bidi w:val="0"/>
        <w:rPr>
          <w:rFonts w:hint="eastAsia"/>
          <w:lang w:val="en-US" w:eastAsia="zh-CN"/>
        </w:rPr>
      </w:pPr>
      <w:r>
        <w:rPr>
          <w:rFonts w:hint="eastAsia"/>
          <w:lang w:val="en-US" w:eastAsia="zh-CN"/>
        </w:rPr>
        <w:t>个人账户支出人数指标，预期目标为大于等于52518人，通过查看城乡居民养老保险个人账户支出明细，该指标实际完成52518人，指标完成率100%。所设分值为2分，实际得分为2分。</w:t>
      </w:r>
    </w:p>
    <w:p w14:paraId="036B38F3">
      <w:pPr>
        <w:bidi w:val="0"/>
        <w:rPr>
          <w:rFonts w:hint="eastAsia"/>
          <w:lang w:val="en-US" w:eastAsia="zh-CN"/>
        </w:rPr>
      </w:pPr>
      <w:r>
        <w:rPr>
          <w:rFonts w:hint="eastAsia"/>
          <w:lang w:val="en-US" w:eastAsia="zh-CN"/>
        </w:rPr>
        <w:t>转移支出人数指标，预期目标为大于等于202人，通过查看城乡居民转移支付交易明细列表，该指标实际完成202人，指标完成率100%。所设分值为1分，实际得分为1分。</w:t>
      </w:r>
    </w:p>
    <w:p w14:paraId="56D804AD">
      <w:pPr>
        <w:bidi w:val="0"/>
        <w:rPr>
          <w:rFonts w:hint="eastAsia"/>
          <w:lang w:val="en-US" w:eastAsia="zh-CN"/>
        </w:rPr>
      </w:pPr>
      <w:r>
        <w:rPr>
          <w:rFonts w:hint="eastAsia"/>
          <w:lang w:val="en-US" w:eastAsia="zh-CN"/>
        </w:rPr>
        <w:t>其他支出人数指标，预期目标为大于等于109人，通过查看城乡居民养老保险退保费基金明细列表，该指标实际完成109人，指标完成率100%。所设分值为1分，实际得分为1分。</w:t>
      </w:r>
    </w:p>
    <w:p w14:paraId="6F705F96">
      <w:pPr>
        <w:bidi w:val="0"/>
        <w:rPr>
          <w:rFonts w:hint="eastAsia"/>
          <w:lang w:val="en-US" w:eastAsia="zh-CN"/>
        </w:rPr>
      </w:pPr>
      <w:r>
        <w:rPr>
          <w:rFonts w:hint="eastAsia"/>
          <w:lang w:val="en-US" w:eastAsia="zh-CN"/>
        </w:rPr>
        <w:t>合计得10分。</w:t>
      </w:r>
    </w:p>
    <w:p w14:paraId="358B497D">
      <w:pPr>
        <w:pStyle w:val="7"/>
        <w:bidi w:val="0"/>
        <w:rPr>
          <w:rFonts w:hint="default"/>
          <w:lang w:val="en-US" w:eastAsia="zh-CN"/>
        </w:rPr>
      </w:pPr>
      <w:bookmarkStart w:id="372" w:name="_Toc20711"/>
      <w:bookmarkStart w:id="373" w:name="_Toc27900"/>
      <w:r>
        <w:rPr>
          <w:rFonts w:hint="eastAsia"/>
          <w:lang w:val="en-US" w:eastAsia="zh-CN"/>
        </w:rPr>
        <w:t>2.对于“产出质量”</w:t>
      </w:r>
      <w:bookmarkEnd w:id="372"/>
      <w:bookmarkEnd w:id="373"/>
    </w:p>
    <w:p w14:paraId="39D80CB3">
      <w:pPr>
        <w:bidi w:val="0"/>
        <w:rPr>
          <w:rFonts w:hint="eastAsia"/>
          <w:lang w:val="en-US" w:eastAsia="zh-CN"/>
        </w:rPr>
      </w:pPr>
      <w:r>
        <w:rPr>
          <w:rFonts w:hint="eastAsia"/>
          <w:lang w:val="en-US" w:eastAsia="zh-CN"/>
        </w:rPr>
        <w:t>符合待遇享受条件人员享受待遇率指标，预期目标为等于100%，通过查看2025年城乡居民养老保险支出项目情况说明，该指标实际完成100%，指标完成率100%，所设分值为10分，实际得分为10分。</w:t>
      </w:r>
    </w:p>
    <w:p w14:paraId="711321EE">
      <w:pPr>
        <w:bidi w:val="0"/>
        <w:rPr>
          <w:rFonts w:hint="eastAsia"/>
          <w:lang w:val="en-US" w:eastAsia="zh-CN"/>
        </w:rPr>
      </w:pPr>
      <w:r>
        <w:rPr>
          <w:rFonts w:hint="eastAsia"/>
          <w:lang w:val="en-US" w:eastAsia="zh-CN"/>
        </w:rPr>
        <w:t>合计得10分。</w:t>
      </w:r>
    </w:p>
    <w:p w14:paraId="000C272B">
      <w:pPr>
        <w:pStyle w:val="7"/>
        <w:bidi w:val="0"/>
        <w:rPr>
          <w:rFonts w:hint="default"/>
          <w:lang w:val="en-US" w:eastAsia="zh-CN"/>
        </w:rPr>
      </w:pPr>
      <w:bookmarkStart w:id="374" w:name="_Toc28229"/>
      <w:bookmarkStart w:id="375" w:name="_Toc31044"/>
      <w:r>
        <w:rPr>
          <w:rFonts w:hint="eastAsia"/>
          <w:lang w:val="en-US" w:eastAsia="zh-CN"/>
        </w:rPr>
        <w:t>3.对于“产出时效”</w:t>
      </w:r>
      <w:bookmarkEnd w:id="374"/>
      <w:bookmarkEnd w:id="375"/>
    </w:p>
    <w:p w14:paraId="6E71C439">
      <w:pPr>
        <w:bidi w:val="0"/>
        <w:rPr>
          <w:rFonts w:hint="eastAsia"/>
          <w:lang w:val="en-US" w:eastAsia="zh-CN"/>
        </w:rPr>
      </w:pPr>
      <w:r>
        <w:rPr>
          <w:rFonts w:hint="eastAsia"/>
          <w:lang w:val="en-US" w:eastAsia="zh-CN"/>
        </w:rPr>
        <w:t>基础养老金按时足额发放比率指标，预期目标为等于100%，通过查看2025年城乡居民养老保险支出项目情况说明，该指标实际完成100%，指标完成率100%，所设分值为10分，实际得分为10分。</w:t>
      </w:r>
    </w:p>
    <w:p w14:paraId="05AAB6F3">
      <w:pPr>
        <w:bidi w:val="0"/>
        <w:rPr>
          <w:rFonts w:hint="eastAsia"/>
          <w:lang w:val="en-US" w:eastAsia="zh-CN"/>
        </w:rPr>
      </w:pPr>
      <w:r>
        <w:rPr>
          <w:rFonts w:hint="eastAsia"/>
          <w:lang w:val="en-US" w:eastAsia="zh-CN"/>
        </w:rPr>
        <w:t>合计得10分。</w:t>
      </w:r>
    </w:p>
    <w:p w14:paraId="020ECBD0">
      <w:pPr>
        <w:pStyle w:val="7"/>
        <w:bidi w:val="0"/>
        <w:rPr>
          <w:rFonts w:hint="default"/>
          <w:lang w:val="en-US" w:eastAsia="zh-CN"/>
        </w:rPr>
      </w:pPr>
      <w:bookmarkStart w:id="376" w:name="_Toc7534"/>
      <w:bookmarkStart w:id="377" w:name="_Toc27904"/>
      <w:r>
        <w:rPr>
          <w:rFonts w:hint="eastAsia"/>
          <w:lang w:val="en-US" w:eastAsia="zh-CN"/>
        </w:rPr>
        <w:t>4.对于“产出成本”</w:t>
      </w:r>
      <w:bookmarkEnd w:id="376"/>
      <w:bookmarkEnd w:id="377"/>
    </w:p>
    <w:p w14:paraId="34077FA3">
      <w:pPr>
        <w:bidi w:val="0"/>
        <w:rPr>
          <w:rFonts w:hint="eastAsia"/>
          <w:lang w:val="en-US" w:eastAsia="zh-CN"/>
        </w:rPr>
      </w:pPr>
      <w:bookmarkStart w:id="378" w:name="_Toc24495"/>
      <w:bookmarkStart w:id="379" w:name="_Toc3543"/>
      <w:bookmarkStart w:id="380" w:name="_Toc12385"/>
      <w:bookmarkStart w:id="381" w:name="_Toc4804"/>
      <w:bookmarkStart w:id="382" w:name="_Toc2237"/>
      <w:bookmarkStart w:id="383" w:name="_Toc24982"/>
      <w:r>
        <w:rPr>
          <w:rFonts w:hint="eastAsia"/>
          <w:lang w:val="en-US" w:eastAsia="zh-CN"/>
        </w:rPr>
        <w:t>城乡居民基础养老金平均标准指标，预期目标为小于等于2719元/年，通过查看2025年城乡居民养老保险支出项目执行进度明细表，该指标实际完成2719元/年，指标完成率100%，所设分值为2分，实际得分为2分。</w:t>
      </w:r>
    </w:p>
    <w:p w14:paraId="316C7557">
      <w:pPr>
        <w:bidi w:val="0"/>
        <w:rPr>
          <w:rFonts w:hint="eastAsia"/>
          <w:lang w:val="en-US" w:eastAsia="zh-CN"/>
        </w:rPr>
      </w:pPr>
      <w:r>
        <w:rPr>
          <w:rFonts w:hint="eastAsia"/>
          <w:lang w:val="en-US" w:eastAsia="zh-CN"/>
        </w:rPr>
        <w:t>个人账户支出预计人均指标，预期目标为小于等于244.92元，通过查看2025年城乡居民养老保险支出项目执行进度明细表，该指标实际完成244.92元，指标完成率100%，所设分值为2分，实际得分为2分。</w:t>
      </w:r>
    </w:p>
    <w:p w14:paraId="50C07ECE">
      <w:pPr>
        <w:bidi w:val="0"/>
        <w:rPr>
          <w:rFonts w:hint="eastAsia"/>
          <w:lang w:val="en-US" w:eastAsia="zh-CN"/>
        </w:rPr>
      </w:pPr>
      <w:r>
        <w:rPr>
          <w:rFonts w:hint="eastAsia"/>
          <w:lang w:val="en-US" w:eastAsia="zh-CN"/>
        </w:rPr>
        <w:t>丧葬补助发放人均指标，预期目标为小于等于900元，通过查看2025年城乡居民养老保险支出项目执行进度明细表，该指标实际完成900元，指标完成率100%，所设分值为2分，实际得分为2分。</w:t>
      </w:r>
    </w:p>
    <w:p w14:paraId="388C02C0">
      <w:pPr>
        <w:bidi w:val="0"/>
        <w:rPr>
          <w:rFonts w:hint="eastAsia"/>
          <w:lang w:val="en-US" w:eastAsia="zh-CN"/>
        </w:rPr>
      </w:pPr>
      <w:r>
        <w:rPr>
          <w:rFonts w:hint="eastAsia"/>
          <w:lang w:val="en-US" w:eastAsia="zh-CN"/>
        </w:rPr>
        <w:t>转移支出人均指标，预期目标为小于等于3576.89元，通过查看2025年城乡居民养老保险支出项目执行进度明细表，该指标实际完成3576.89元，指标完成率100%，所设分值为2分，实际得分为2分。</w:t>
      </w:r>
    </w:p>
    <w:p w14:paraId="4DCBB297">
      <w:pPr>
        <w:bidi w:val="0"/>
        <w:rPr>
          <w:rFonts w:hint="eastAsia"/>
          <w:lang w:val="en-US" w:eastAsia="zh-CN"/>
        </w:rPr>
      </w:pPr>
      <w:r>
        <w:rPr>
          <w:rFonts w:hint="eastAsia"/>
          <w:lang w:val="en-US" w:eastAsia="zh-CN"/>
        </w:rPr>
        <w:t>其他支出人均指标，预期目标为小于等于2562.07元，通过查看2025年城乡居民养老保险支出项目执行进度明细表，该指标实际完成2562.07元，指标完成率100%，所设分值为1分，实际得分为1分。</w:t>
      </w:r>
    </w:p>
    <w:p w14:paraId="776B3A9E">
      <w:pPr>
        <w:bidi w:val="0"/>
        <w:rPr>
          <w:rFonts w:hint="eastAsia"/>
          <w:lang w:val="en-US" w:eastAsia="zh-CN"/>
        </w:rPr>
      </w:pPr>
      <w:r>
        <w:rPr>
          <w:rFonts w:hint="eastAsia"/>
          <w:lang w:val="en-US" w:eastAsia="zh-CN"/>
        </w:rPr>
        <w:t>上解上级支出指标，预期目标为小于等于33万元，通过查看2025年城乡居民养老保险支出项目执行进度明细表，该指标实际完成33万元，指标完成率100%，所设分值为1分，实际得分为1分。</w:t>
      </w:r>
    </w:p>
    <w:p w14:paraId="712BD68A">
      <w:pPr>
        <w:bidi w:val="0"/>
        <w:rPr>
          <w:rFonts w:hint="eastAsia"/>
          <w:lang w:val="en-US" w:eastAsia="zh-CN"/>
        </w:rPr>
      </w:pPr>
      <w:r>
        <w:rPr>
          <w:rFonts w:hint="eastAsia"/>
          <w:lang w:val="en-US" w:eastAsia="zh-CN"/>
        </w:rPr>
        <w:t>合计得10分。</w:t>
      </w:r>
    </w:p>
    <w:p w14:paraId="29252022">
      <w:pPr>
        <w:pStyle w:val="6"/>
        <w:bidi w:val="0"/>
        <w:rPr>
          <w:rFonts w:hint="eastAsia"/>
          <w:lang w:val="en-US" w:eastAsia="zh-CN"/>
        </w:rPr>
      </w:pPr>
      <w:bookmarkStart w:id="384" w:name="_Toc3429"/>
      <w:bookmarkStart w:id="385" w:name="_Toc19146"/>
      <w:r>
        <w:rPr>
          <w:rFonts w:hint="eastAsia"/>
          <w:lang w:val="en-US" w:eastAsia="zh-CN"/>
        </w:rPr>
        <w:t>（四）项目效益情况</w:t>
      </w:r>
      <w:bookmarkEnd w:id="378"/>
      <w:bookmarkEnd w:id="379"/>
      <w:bookmarkEnd w:id="380"/>
      <w:bookmarkEnd w:id="381"/>
      <w:bookmarkEnd w:id="382"/>
      <w:bookmarkEnd w:id="383"/>
      <w:bookmarkEnd w:id="384"/>
      <w:bookmarkEnd w:id="385"/>
    </w:p>
    <w:p w14:paraId="633AE6B2">
      <w:pPr>
        <w:bidi w:val="0"/>
        <w:rPr>
          <w:rFonts w:hint="eastAsia"/>
          <w:lang w:val="en-US" w:eastAsia="zh-CN"/>
        </w:rPr>
      </w:pPr>
      <w:r>
        <w:rPr>
          <w:rFonts w:hint="eastAsia"/>
          <w:lang w:val="en-US" w:eastAsia="zh-CN"/>
        </w:rPr>
        <w:t>项目效益类指标包括项目效益及满意度两个方面的内容，由2个三级指标构成，权重分为20分，实际得分20分，得分率为100%。</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17"/>
        <w:gridCol w:w="1761"/>
        <w:gridCol w:w="1784"/>
        <w:gridCol w:w="2365"/>
      </w:tblGrid>
      <w:tr w14:paraId="135F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F43832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rPr>
              <w:t>三级指标</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7375C8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权重</w:t>
            </w: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1F5C73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得分率</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E34029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实际得分</w:t>
            </w:r>
          </w:p>
        </w:tc>
      </w:tr>
      <w:tr w14:paraId="21B5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417"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3E8DBE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eastAsia" w:ascii="Times New Roman" w:hAnsi="方正仿宋_GBK" w:eastAsia="方正仿宋_GBK" w:cs="方正仿宋_GBK"/>
                <w:color w:val="auto"/>
                <w:lang w:val="en-US" w:eastAsia="zh-CN"/>
              </w:rPr>
              <w:t>实施效益</w:t>
            </w:r>
          </w:p>
        </w:tc>
        <w:tc>
          <w:tcPr>
            <w:tcW w:w="176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D4FA46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10</w:t>
            </w:r>
          </w:p>
        </w:tc>
        <w:tc>
          <w:tcPr>
            <w:tcW w:w="1784"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E2F81C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100%</w:t>
            </w:r>
          </w:p>
        </w:tc>
        <w:tc>
          <w:tcPr>
            <w:tcW w:w="23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4066B7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10</w:t>
            </w:r>
          </w:p>
        </w:tc>
      </w:tr>
      <w:tr w14:paraId="2D61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417"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074E7B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2ABCEB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rPr>
            </w:pPr>
          </w:p>
        </w:tc>
        <w:tc>
          <w:tcPr>
            <w:tcW w:w="1784"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5754E4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EF3DBE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rPr>
            </w:pPr>
          </w:p>
        </w:tc>
      </w:tr>
      <w:tr w14:paraId="57275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C7708C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eastAsia" w:ascii="Times New Roman" w:hAnsi="方正仿宋_GBK" w:eastAsia="方正仿宋_GBK" w:cs="方正仿宋_GBK"/>
                <w:color w:val="auto"/>
                <w:lang w:val="en-US" w:eastAsia="zh-CN"/>
              </w:rPr>
              <w:t>满意度</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FD3E00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10</w:t>
            </w:r>
          </w:p>
        </w:tc>
        <w:tc>
          <w:tcPr>
            <w:tcW w:w="1784"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AF07E2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100%</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E15053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10</w:t>
            </w:r>
          </w:p>
        </w:tc>
      </w:tr>
      <w:tr w14:paraId="1DB5E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4B5F51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eastAsia" w:ascii="Times New Roman" w:hAnsi="方正仿宋_GBK" w:eastAsia="方正仿宋_GBK" w:cs="方正仿宋_GBK"/>
                <w:color w:val="auto"/>
                <w:lang w:val="en-US" w:eastAsia="zh-CN"/>
              </w:rPr>
              <w:t>合计</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517D09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20</w:t>
            </w:r>
          </w:p>
        </w:tc>
        <w:tc>
          <w:tcPr>
            <w:tcW w:w="1784"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113EC8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100%</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E9A681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ascii="Times New Roman" w:hAnsi="方正仿宋_GBK" w:eastAsia="方正仿宋_GBK" w:cs="方正仿宋_GBK"/>
                <w:color w:val="auto"/>
                <w:lang w:val="en-US"/>
              </w:rPr>
            </w:pPr>
            <w:r>
              <w:rPr>
                <w:rFonts w:hint="default" w:ascii="Times New Roman" w:hAnsi="方正仿宋_GBK" w:eastAsia="方正仿宋_GBK" w:cs="方正仿宋_GBK"/>
                <w:color w:val="auto"/>
                <w:lang w:val="en-US" w:eastAsia="zh-CN"/>
              </w:rPr>
              <w:t>20</w:t>
            </w:r>
          </w:p>
        </w:tc>
      </w:tr>
    </w:tbl>
    <w:p w14:paraId="03B8E34E">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Fonts w:hint="eastAsia" w:ascii="方正仿宋_GBK" w:hAnsi="方正仿宋_GBK" w:eastAsia="方正仿宋_GBK" w:cs="方正仿宋_GBK"/>
          <w:b w:val="0"/>
          <w:bCs w:val="0"/>
          <w:color w:val="auto"/>
          <w:kern w:val="0"/>
          <w:sz w:val="32"/>
          <w:szCs w:val="32"/>
          <w:lang w:val="en-US" w:eastAsia="zh-CN" w:bidi="en-US"/>
        </w:rPr>
      </w:pPr>
    </w:p>
    <w:p w14:paraId="3EEEDDE3">
      <w:pPr>
        <w:pStyle w:val="7"/>
        <w:bidi w:val="0"/>
        <w:rPr>
          <w:rFonts w:hint="default"/>
          <w:lang w:val="en-US" w:eastAsia="zh-CN"/>
        </w:rPr>
      </w:pPr>
      <w:bookmarkStart w:id="386" w:name="_Toc8399"/>
      <w:bookmarkStart w:id="387" w:name="_Toc18686"/>
      <w:r>
        <w:rPr>
          <w:rFonts w:hint="eastAsia"/>
          <w:lang w:val="en-US" w:eastAsia="zh-CN"/>
        </w:rPr>
        <w:t>1.实施效益指标</w:t>
      </w:r>
      <w:bookmarkEnd w:id="386"/>
      <w:bookmarkEnd w:id="387"/>
    </w:p>
    <w:p w14:paraId="156F6F91">
      <w:pPr>
        <w:bidi w:val="0"/>
        <w:rPr>
          <w:rFonts w:hint="eastAsia"/>
          <w:lang w:val="en-US" w:eastAsia="zh-CN"/>
        </w:rPr>
      </w:pPr>
      <w:r>
        <w:rPr>
          <w:rFonts w:hint="eastAsia"/>
          <w:lang w:val="en-US" w:eastAsia="zh-CN"/>
        </w:rPr>
        <w:t>对于“社会效益指标”：</w:t>
      </w:r>
    </w:p>
    <w:p w14:paraId="7DFF28F3">
      <w:pPr>
        <w:bidi w:val="0"/>
        <w:rPr>
          <w:rFonts w:hint="eastAsia"/>
          <w:lang w:val="en-US" w:eastAsia="zh-CN"/>
        </w:rPr>
      </w:pPr>
      <w:r>
        <w:rPr>
          <w:rFonts w:hint="eastAsia"/>
          <w:lang w:val="en-US" w:eastAsia="zh-CN"/>
        </w:rPr>
        <w:t>保障养老参保人员待遇指标，预期目标为有效保障，评价组通过对领取养老待遇的人员发放“2025年城乡居民养老保险支出项目满意度调查问卷”，对该项目实施效益进行调查分析，评价组共发放200份满意度调查问卷，分为二档，即“是”“否”；收回问卷200份，按照“2025年城乡居民养老保险支出项目满意度调查问卷”第4题的回复情况，调查对象均表示有效保障了养老待遇，实际完成有效保障，指标完成率100%。所设分值为10分，实际得分为10分。</w:t>
      </w:r>
    </w:p>
    <w:p w14:paraId="1B1277E5">
      <w:pPr>
        <w:bidi w:val="0"/>
        <w:rPr>
          <w:rFonts w:hint="eastAsia"/>
          <w:lang w:val="en-US" w:eastAsia="zh-CN"/>
        </w:rPr>
      </w:pPr>
      <w:r>
        <w:rPr>
          <w:rFonts w:hint="eastAsia"/>
          <w:lang w:val="en-US" w:eastAsia="zh-CN"/>
        </w:rPr>
        <w:t>实施效益指标合计得10分。</w:t>
      </w:r>
    </w:p>
    <w:p w14:paraId="044C9D31">
      <w:pPr>
        <w:pStyle w:val="7"/>
        <w:bidi w:val="0"/>
        <w:rPr>
          <w:rFonts w:hint="eastAsia"/>
          <w:lang w:val="en-US" w:eastAsia="zh-CN"/>
        </w:rPr>
      </w:pPr>
      <w:bookmarkStart w:id="388" w:name="_Toc6971"/>
      <w:bookmarkStart w:id="389" w:name="_Toc22601"/>
      <w:r>
        <w:rPr>
          <w:rFonts w:hint="eastAsia"/>
          <w:lang w:val="en-US" w:eastAsia="zh-CN"/>
        </w:rPr>
        <w:t>2.满意度指标</w:t>
      </w:r>
      <w:bookmarkEnd w:id="388"/>
      <w:bookmarkEnd w:id="389"/>
    </w:p>
    <w:p w14:paraId="687420A6">
      <w:pPr>
        <w:bidi w:val="0"/>
        <w:rPr>
          <w:rFonts w:hint="eastAsia"/>
          <w:lang w:val="en-US" w:eastAsia="zh-CN"/>
        </w:rPr>
      </w:pPr>
      <w:r>
        <w:rPr>
          <w:rFonts w:hint="eastAsia"/>
          <w:lang w:val="en-US" w:eastAsia="zh-CN"/>
        </w:rPr>
        <w:t>对于“满意度指标”：</w:t>
      </w:r>
    </w:p>
    <w:bookmarkEnd w:id="351"/>
    <w:p w14:paraId="48AB1644">
      <w:pPr>
        <w:bidi w:val="0"/>
        <w:rPr>
          <w:rFonts w:hint="eastAsia"/>
          <w:lang w:val="en-US" w:eastAsia="zh-CN"/>
        </w:rPr>
      </w:pPr>
      <w:r>
        <w:rPr>
          <w:rFonts w:hint="eastAsia"/>
          <w:lang w:val="en-US" w:eastAsia="zh-CN"/>
        </w:rPr>
        <w:t>城乡参保人员满意度指标，预期目标是大于等于95%，评价组通过对领取养老待遇的人员发放“2025年城乡居民养老保险支出项目满意度调查问卷”，对该项目满意度进行调查分析，评价组共发放200份满意度调查问卷，分为二档，即“是”“否”，收回问卷200份，按照“2025年城乡居民养老保险支出项目满意度调查问卷”第5题的回复情况计算公式得知，调查对象满意度为95%，即=（190×1.0+10×0）/200×100%，等于95%，指标完成率100%。所设分值为10分，实际得分为10分。</w:t>
      </w:r>
    </w:p>
    <w:p w14:paraId="2EEE3A36">
      <w:pPr>
        <w:bidi w:val="0"/>
        <w:rPr>
          <w:rFonts w:hint="eastAsia"/>
          <w:lang w:val="en-US" w:eastAsia="zh-CN"/>
        </w:rPr>
      </w:pPr>
      <w:r>
        <w:rPr>
          <w:rFonts w:hint="eastAsia"/>
          <w:lang w:val="en-US" w:eastAsia="zh-CN"/>
        </w:rPr>
        <w:t>合计得10分。</w:t>
      </w:r>
    </w:p>
    <w:p w14:paraId="6A0DE41D">
      <w:pPr>
        <w:pStyle w:val="5"/>
        <w:bidi w:val="0"/>
        <w:rPr>
          <w:rFonts w:hint="eastAsia"/>
          <w:lang w:val="en-US" w:eastAsia="zh-CN"/>
        </w:rPr>
      </w:pPr>
      <w:bookmarkStart w:id="390" w:name="_Toc20347"/>
      <w:bookmarkStart w:id="391" w:name="_Toc31638"/>
      <w:bookmarkStart w:id="392" w:name="_Toc32560"/>
      <w:bookmarkStart w:id="393" w:name="_Toc5508"/>
      <w:bookmarkStart w:id="394" w:name="_Toc2206"/>
      <w:bookmarkStart w:id="395" w:name="_Toc374"/>
      <w:bookmarkStart w:id="396" w:name="_Toc9085"/>
      <w:bookmarkStart w:id="397" w:name="_Toc1419"/>
      <w:r>
        <w:rPr>
          <w:rFonts w:hint="eastAsia"/>
          <w:lang w:val="en-US" w:eastAsia="zh-CN"/>
        </w:rPr>
        <w:t>五、主要经验及做法、存在的问题及原因分析</w:t>
      </w:r>
      <w:bookmarkEnd w:id="390"/>
      <w:bookmarkEnd w:id="391"/>
      <w:bookmarkEnd w:id="392"/>
      <w:bookmarkEnd w:id="393"/>
      <w:bookmarkEnd w:id="394"/>
      <w:bookmarkEnd w:id="395"/>
      <w:bookmarkEnd w:id="396"/>
      <w:bookmarkEnd w:id="397"/>
    </w:p>
    <w:p w14:paraId="3CE53AE5">
      <w:pPr>
        <w:pStyle w:val="6"/>
        <w:bidi w:val="0"/>
        <w:rPr>
          <w:rFonts w:hint="eastAsia"/>
          <w:lang w:val="en-US" w:eastAsia="zh-CN"/>
        </w:rPr>
      </w:pPr>
      <w:bookmarkStart w:id="398" w:name="_Toc12188"/>
      <w:bookmarkStart w:id="399" w:name="_Toc17944"/>
      <w:bookmarkStart w:id="400" w:name="_Toc15482"/>
      <w:bookmarkStart w:id="401" w:name="_Toc27679"/>
      <w:bookmarkStart w:id="402" w:name="_Toc17888"/>
      <w:bookmarkStart w:id="403" w:name="_Toc27328"/>
      <w:bookmarkStart w:id="404" w:name="_Toc5816"/>
      <w:bookmarkStart w:id="405" w:name="_Toc29774"/>
      <w:r>
        <w:rPr>
          <w:rFonts w:hint="eastAsia"/>
          <w:lang w:val="en-US" w:eastAsia="zh-CN"/>
        </w:rPr>
        <w:t>（一）主要经验及做法</w:t>
      </w:r>
      <w:bookmarkEnd w:id="398"/>
      <w:bookmarkEnd w:id="399"/>
      <w:bookmarkEnd w:id="400"/>
      <w:bookmarkEnd w:id="401"/>
      <w:bookmarkEnd w:id="402"/>
      <w:bookmarkEnd w:id="403"/>
      <w:bookmarkEnd w:id="404"/>
      <w:bookmarkEnd w:id="405"/>
    </w:p>
    <w:p w14:paraId="7B3DA60F">
      <w:pPr>
        <w:bidi w:val="0"/>
        <w:rPr>
          <w:rFonts w:hint="eastAsia"/>
          <w:lang w:val="en-US" w:eastAsia="zh-CN"/>
        </w:rPr>
      </w:pPr>
      <w:bookmarkStart w:id="406" w:name="_Toc24728"/>
      <w:bookmarkStart w:id="407" w:name="_Toc13988"/>
      <w:bookmarkStart w:id="408" w:name="_Toc13285"/>
      <w:bookmarkStart w:id="409" w:name="_Toc17815"/>
      <w:r>
        <w:rPr>
          <w:rFonts w:hint="eastAsia"/>
          <w:lang w:val="en-US" w:eastAsia="zh-CN"/>
        </w:rPr>
        <w:t>1.健全工作机制，保障政策落地见效。构建“中心统筹、乡镇联动、村居落实”工作体系，细化参保登记、缴费核定、待遇核算、资金发放、资金监管等全流程岗位职责，规范业务经办流程，明确各环节办理时限与标准，严格执行基金收支两条线管理，将各项基金收入纳入财政专户，设立专项支出户，确保基础养老金、丧葬补助金等各项资金专款专用、按时足额发放，实现业务经办规范化、基金管理精细化，保障项目有序运转。</w:t>
      </w:r>
    </w:p>
    <w:p w14:paraId="2CBD0631">
      <w:pPr>
        <w:bidi w:val="0"/>
        <w:rPr>
          <w:rFonts w:hint="eastAsia"/>
          <w:lang w:val="en-US" w:eastAsia="zh-CN"/>
        </w:rPr>
      </w:pPr>
      <w:r>
        <w:rPr>
          <w:rFonts w:hint="eastAsia"/>
          <w:lang w:val="en-US" w:eastAsia="zh-CN"/>
        </w:rPr>
        <w:t>2.深入实施“全民参保”计划，不断推进全民参保，莎车县以灵活就业人员、新就业形态人员、未参保居民、农村居民等群体为重点，指导开展精准扩面专项行动，全力推进全民参保工作。</w:t>
      </w:r>
    </w:p>
    <w:p w14:paraId="607A48A7">
      <w:pPr>
        <w:bidi w:val="0"/>
        <w:rPr>
          <w:rFonts w:hint="default"/>
          <w:lang w:val="en-US" w:eastAsia="zh-CN"/>
        </w:rPr>
      </w:pPr>
      <w:r>
        <w:rPr>
          <w:rFonts w:hint="eastAsia"/>
          <w:lang w:val="en-US" w:eastAsia="zh-CN"/>
        </w:rPr>
        <w:t>3.精准落实待遇发放，提升群众保障获得感。聚焦群众养老需求，精准做好待遇核算与发放工作，对完成资格审核、按期完成资格认证的适龄参保居民，全部按时足额发放基础养老金，无应发未发、漏发情形。规范办理个人账户支出、养老保险关系转移、丧葬补助金申领等业务，简化办事流程，压缩办理时限，打通服务群众“最后一公里”。全面落实基础养老金动态调整政策，稳步提升保障水平，切实发挥养老保险兜底民生、保障居民基本生活的作用，增强参保群众幸福感与安全感。</w:t>
      </w:r>
    </w:p>
    <w:p w14:paraId="03F1F6DF">
      <w:pPr>
        <w:pStyle w:val="6"/>
        <w:bidi w:val="0"/>
        <w:rPr>
          <w:rFonts w:hint="eastAsia"/>
          <w:lang w:val="en-US" w:eastAsia="zh-CN"/>
        </w:rPr>
      </w:pPr>
      <w:bookmarkStart w:id="410" w:name="_Toc23074"/>
      <w:bookmarkStart w:id="411" w:name="_Toc31249"/>
      <w:bookmarkStart w:id="412" w:name="_Toc2885"/>
      <w:bookmarkStart w:id="413" w:name="_Toc7346"/>
      <w:r>
        <w:rPr>
          <w:rFonts w:hint="eastAsia"/>
          <w:lang w:val="en-US" w:eastAsia="zh-CN"/>
        </w:rPr>
        <w:t>（二）存在问题及原因分析</w:t>
      </w:r>
      <w:bookmarkEnd w:id="406"/>
      <w:bookmarkEnd w:id="407"/>
      <w:bookmarkEnd w:id="408"/>
      <w:bookmarkEnd w:id="409"/>
      <w:bookmarkEnd w:id="410"/>
      <w:bookmarkEnd w:id="411"/>
      <w:bookmarkEnd w:id="412"/>
      <w:bookmarkEnd w:id="413"/>
    </w:p>
    <w:p w14:paraId="2E10DCF1">
      <w:pPr>
        <w:bidi w:val="0"/>
        <w:rPr>
          <w:rFonts w:hint="eastAsia"/>
          <w:lang w:val="en-US" w:eastAsia="zh-CN"/>
        </w:rPr>
      </w:pPr>
      <w:r>
        <w:rPr>
          <w:rFonts w:hint="eastAsia"/>
          <w:lang w:val="en-US" w:eastAsia="zh-CN"/>
        </w:rPr>
        <w:t>1.参保缴费结构激励成效不突出。部分参保群众参保意识薄弱，对养老保险政策理解不深入，普遍存在“重眼前、轻长远”的思想，多数群众选择最低缴费档次参保，高档次缴费占比偏低，个人账户积累不足，后续养老保障水平难以有效提升。“多缴多得、长缴多得”激励政策宣传不够透彻，群众参保提档积极性不高，参保缴费结构有待优化。现行缴费档次补贴差距较小，高档次缴费激励力度不足，多缴多补的政策优势不明显，难以引导群众主动提档缴费。</w:t>
      </w:r>
    </w:p>
    <w:p w14:paraId="03948988">
      <w:pPr>
        <w:bidi w:val="0"/>
        <w:rPr>
          <w:rFonts w:hint="eastAsia"/>
          <w:lang w:val="en-US" w:eastAsia="zh-CN"/>
        </w:rPr>
      </w:pPr>
      <w:r>
        <w:rPr>
          <w:rFonts w:hint="eastAsia"/>
          <w:lang w:val="en-US" w:eastAsia="zh-CN"/>
        </w:rPr>
        <w:t>2.政策宣传精准度不足，群众知晓有盲区。政策宣传多采用普惠式推广方式，针对年轻群体、外出务工人员、偏远村居群众的精准宣传不到位，部分群众对参保缴费标准、待遇核算方式、转移接续流程、丧葬补助金申领条件等核心内容了解不全面、不细致。部分老年群众、文化水平偏低群众对线上办事流程不熟悉，政策知晓存在盲区，影响参保和业务办理积极性。因政策宣传方式缺乏针对性和创新性，未结合不同群体认知特点、需求差异开展精准宣传，多以政策解读、资料发放为主，缺乏案例讲解、待遇测算等直观化宣传，群众难以深刻理解参保长远效益。</w:t>
      </w:r>
    </w:p>
    <w:p w14:paraId="263063E6">
      <w:pPr>
        <w:bidi w:val="0"/>
        <w:rPr>
          <w:rFonts w:hint="eastAsia"/>
          <w:lang w:val="en-US" w:eastAsia="zh-CN"/>
        </w:rPr>
      </w:pPr>
      <w:bookmarkStart w:id="414" w:name="_Toc6103"/>
      <w:bookmarkStart w:id="415" w:name="_Toc32433"/>
      <w:bookmarkStart w:id="416" w:name="_Toc21406"/>
      <w:bookmarkStart w:id="417" w:name="_Toc19036"/>
      <w:bookmarkStart w:id="418" w:name="_Toc25389"/>
      <w:bookmarkStart w:id="419" w:name="_Toc17384"/>
      <w:r>
        <w:rPr>
          <w:rFonts w:hint="eastAsia"/>
          <w:lang w:val="en-US" w:eastAsia="zh-CN"/>
        </w:rPr>
        <w:t>3.养老金资格认证覆盖比例有待提高。莎车县社会保险中心虽常态化开展待遇领取资格动态核查，通过线上APP、入户走访、村级协助等多渠道组织群众完成认证，并定期推送认证提醒，但受外出务工人员流动分散、高龄老年群体线上操作能力不足、部分群众主动认证意识薄弱等因素制约，仍有部分到龄人员未及时完成资格认证，出现待遇临时停发情况。</w:t>
      </w:r>
    </w:p>
    <w:p w14:paraId="6138CE7E">
      <w:pPr>
        <w:pStyle w:val="5"/>
        <w:bidi w:val="0"/>
        <w:rPr>
          <w:rFonts w:hint="eastAsia"/>
          <w:lang w:val="en-US" w:eastAsia="zh-CN"/>
        </w:rPr>
      </w:pPr>
      <w:bookmarkStart w:id="420" w:name="_Toc4662"/>
      <w:bookmarkStart w:id="421" w:name="_Toc18032"/>
      <w:r>
        <w:rPr>
          <w:rFonts w:hint="eastAsia"/>
          <w:lang w:val="en-US" w:eastAsia="zh-CN"/>
        </w:rPr>
        <w:t>六、有关建议</w:t>
      </w:r>
      <w:bookmarkEnd w:id="414"/>
      <w:bookmarkEnd w:id="415"/>
      <w:bookmarkEnd w:id="416"/>
      <w:bookmarkEnd w:id="417"/>
      <w:bookmarkEnd w:id="418"/>
      <w:bookmarkEnd w:id="419"/>
      <w:bookmarkEnd w:id="420"/>
      <w:bookmarkEnd w:id="421"/>
    </w:p>
    <w:p w14:paraId="30776A39">
      <w:pPr>
        <w:bidi w:val="0"/>
        <w:rPr>
          <w:rFonts w:hint="eastAsia"/>
          <w:lang w:val="en-US" w:eastAsia="zh-CN"/>
        </w:rPr>
      </w:pPr>
      <w:r>
        <w:rPr>
          <w:rFonts w:hint="eastAsia"/>
          <w:lang w:val="en-US" w:eastAsia="zh-CN"/>
        </w:rPr>
        <w:t>1.完善缴费激励政策，拉大不同缴费档次的补贴差距，强化“多缴多得、长缴多得”政策导向，引导参保群众主动提升缴费档次，优化参保缴费结构。</w:t>
      </w:r>
    </w:p>
    <w:p w14:paraId="57EAAD44">
      <w:pPr>
        <w:bidi w:val="0"/>
        <w:rPr>
          <w:rFonts w:hint="eastAsia"/>
          <w:lang w:val="en-US" w:eastAsia="zh-CN"/>
        </w:rPr>
      </w:pPr>
      <w:r>
        <w:rPr>
          <w:rFonts w:hint="eastAsia"/>
          <w:lang w:val="en-US" w:eastAsia="zh-CN"/>
        </w:rPr>
        <w:t>2.精准开展政策宣传解读，实施分层分类宣传，针对老年群体、年轻群体、外出务工人员、特殊困难群体等不同对象，定制差异化宣传内容，用通俗易懂的语言、直观的待遇测算案例、接地气的宣讲方式，解读参保缴费、待遇领取、转移接续、丧葬补助等核心政策。通过电视、电台、莎车零距离、制作抖音视频、微信、发放宣传单、巩固拓展脱贫攻坚成果走访、访惠聚干部、联户长入户走访等方式广泛宣传。利用新疆智慧人社</w:t>
      </w:r>
      <w:r>
        <w:rPr>
          <w:rFonts w:hint="default"/>
          <w:lang w:val="en-US" w:eastAsia="zh-CN"/>
        </w:rPr>
        <w:t>APP</w:t>
      </w:r>
      <w:r>
        <w:rPr>
          <w:rFonts w:hint="eastAsia"/>
          <w:lang w:val="en-US" w:eastAsia="zh-CN"/>
        </w:rPr>
        <w:t>和新疆人社</w:t>
      </w:r>
      <w:r>
        <w:rPr>
          <w:rFonts w:hint="default"/>
          <w:lang w:val="en-US" w:eastAsia="zh-CN"/>
        </w:rPr>
        <w:t>12333</w:t>
      </w:r>
      <w:r>
        <w:rPr>
          <w:rFonts w:hint="eastAsia"/>
          <w:lang w:val="en-US" w:eastAsia="zh-CN"/>
        </w:rPr>
        <w:t>认证，积极向居民解疑释惑，进一步提高群众对认证相关政策的知晓率。</w:t>
      </w:r>
    </w:p>
    <w:p w14:paraId="241B5D0B">
      <w:pPr>
        <w:bidi w:val="0"/>
        <w:rPr>
          <w:rFonts w:hint="default"/>
          <w:highlight w:val="none"/>
          <w:lang w:val="en-US" w:eastAsia="zh-CN"/>
        </w:rPr>
      </w:pPr>
      <w:r>
        <w:rPr>
          <w:rFonts w:hint="eastAsia"/>
          <w:lang w:val="en-US" w:eastAsia="zh-CN"/>
        </w:rPr>
        <w:t>3.多措并举提升养老金资格认证及时率。持续拓宽线上、线下认证渠道，针对外出务工人员推送异地认证指引，组织村干部、志愿者上门协助高龄、独居老人完成认证；通过村广播、短视频、入户宣讲普及认证时限、逾期停发及补认证补发政策，提升群众主动认证意识，最大限度减少因未及时认证停发待遇的情况。</w:t>
      </w:r>
    </w:p>
    <w:p w14:paraId="0077987E">
      <w:pPr>
        <w:pStyle w:val="5"/>
        <w:bidi w:val="0"/>
        <w:rPr>
          <w:rFonts w:hint="eastAsia"/>
          <w:lang w:val="en-US" w:eastAsia="zh-CN"/>
        </w:rPr>
      </w:pPr>
      <w:bookmarkStart w:id="422" w:name="_Toc17656"/>
      <w:bookmarkStart w:id="423" w:name="_Toc24015"/>
      <w:bookmarkStart w:id="424" w:name="_Toc8224"/>
      <w:bookmarkStart w:id="425" w:name="_Toc440"/>
      <w:bookmarkStart w:id="426" w:name="_Toc26087"/>
      <w:bookmarkStart w:id="427" w:name="_Toc26604"/>
      <w:bookmarkStart w:id="428" w:name="_Toc28126"/>
      <w:bookmarkStart w:id="429" w:name="_Toc25218"/>
      <w:r>
        <w:rPr>
          <w:rFonts w:hint="eastAsia"/>
          <w:lang w:val="en-US" w:eastAsia="zh-CN"/>
        </w:rPr>
        <w:t>七、其他需要说明的问题</w:t>
      </w:r>
      <w:bookmarkEnd w:id="422"/>
      <w:bookmarkEnd w:id="423"/>
      <w:bookmarkEnd w:id="424"/>
      <w:bookmarkEnd w:id="425"/>
      <w:bookmarkEnd w:id="426"/>
      <w:bookmarkEnd w:id="427"/>
      <w:bookmarkEnd w:id="428"/>
      <w:bookmarkEnd w:id="429"/>
    </w:p>
    <w:p w14:paraId="7D11C5BA">
      <w:pPr>
        <w:bidi w:val="0"/>
        <w:rPr>
          <w:rFonts w:hint="eastAsia"/>
          <w:lang w:val="en-US" w:eastAsia="zh-CN"/>
        </w:rPr>
      </w:pPr>
      <w:r>
        <w:rPr>
          <w:rFonts w:hint="eastAsia"/>
          <w:lang w:val="en-US" w:eastAsia="zh-CN"/>
        </w:rPr>
        <w:t>莎车县社会保险中心对上述项目支出绩效评价报告内反映内容的真实性、完整性负责，接受上级部门及社会公众监督。</w:t>
      </w:r>
    </w:p>
    <w:p w14:paraId="4FD4FD53">
      <w:pPr>
        <w:pStyle w:val="5"/>
        <w:bidi w:val="0"/>
        <w:rPr>
          <w:rFonts w:hint="eastAsia"/>
          <w:lang w:val="en-US" w:eastAsia="zh-CN"/>
        </w:rPr>
      </w:pPr>
      <w:bookmarkStart w:id="430" w:name="_Toc14637"/>
      <w:bookmarkStart w:id="431" w:name="_Toc20608"/>
      <w:bookmarkStart w:id="432" w:name="_Toc23003"/>
      <w:bookmarkStart w:id="433" w:name="_Toc14348"/>
      <w:bookmarkStart w:id="434" w:name="_Toc31496"/>
      <w:bookmarkStart w:id="435" w:name="_Toc19284"/>
      <w:r>
        <w:rPr>
          <w:rFonts w:hint="eastAsia"/>
          <w:lang w:val="en-US" w:eastAsia="zh-CN"/>
        </w:rPr>
        <w:t>八、绩效评价结果应用建议</w:t>
      </w:r>
      <w:bookmarkEnd w:id="430"/>
      <w:bookmarkEnd w:id="431"/>
      <w:bookmarkEnd w:id="432"/>
      <w:bookmarkEnd w:id="433"/>
      <w:bookmarkEnd w:id="434"/>
      <w:bookmarkEnd w:id="435"/>
    </w:p>
    <w:p w14:paraId="10FD8903">
      <w:pPr>
        <w:bidi w:val="0"/>
        <w:rPr>
          <w:rFonts w:hint="eastAsia"/>
          <w:lang w:val="en-US" w:eastAsia="zh-CN"/>
        </w:rPr>
      </w:pPr>
      <w:r>
        <w:rPr>
          <w:rFonts w:hint="eastAsia"/>
          <w:lang w:val="en-US" w:eastAsia="zh-CN"/>
        </w:rPr>
        <w:t>该项目综合评价得分为99分，评定等级为“优”，为有效提高财政预算资金的经济性、效率性、效益性和公平性，建议将本次绩效评价结果作为预算单位次年预算编制的重要依据，并优化支出结构、完善相关办法、改进预算管理。建议根据政策制度，结合莎车县党委、莎车县人民政府工作安排以及本级财力情况等因素，原则上优先予以保障该项目。</w:t>
      </w:r>
    </w:p>
    <w:p w14:paraId="578BA034">
      <w:pPr>
        <w:bidi w:val="0"/>
        <w:rPr>
          <w:rFonts w:hint="default"/>
          <w:lang w:val="en-US" w:eastAsia="zh-CN"/>
        </w:rPr>
      </w:pPr>
      <w:r>
        <w:rPr>
          <w:rFonts w:hint="default"/>
          <w:lang w:val="en-US" w:eastAsia="zh-CN"/>
        </w:rPr>
        <w:t>根据本次绩效评价报告中所反馈的问题和建议，由项目实施单位及时研究制定整改措施，积极落实整改要求，切实改进资金管理和项目管理，并在规定的时间内，将整改情况向莎车县财政局行文报告。</w:t>
      </w:r>
    </w:p>
    <w:p w14:paraId="7ED5E93C">
      <w:pPr>
        <w:bidi w:val="0"/>
        <w:rPr>
          <w:rFonts w:hint="default"/>
          <w:lang w:val="en-US" w:eastAsia="zh-CN"/>
        </w:rPr>
      </w:pPr>
      <w:r>
        <w:rPr>
          <w:rFonts w:hint="default"/>
          <w:lang w:val="en-US" w:eastAsia="zh-CN"/>
        </w:rPr>
        <w:t>积极推进评价结果和评价报告等绩效信息的公开。按照政府信息公开有关规定，由莎车县财政局将本次绩效评价的结果信息进行公开，加强社会和舆论监督，提高财政资金使用透明度。</w:t>
      </w:r>
    </w:p>
    <w:p w14:paraId="18EB2B93">
      <w:pPr>
        <w:bidi w:val="0"/>
        <w:rPr>
          <w:rFonts w:hint="eastAsia"/>
          <w:lang w:val="en-US" w:eastAsia="zh-CN"/>
        </w:rPr>
      </w:pPr>
      <w:bookmarkStart w:id="436" w:name="_Toc6566"/>
      <w:bookmarkStart w:id="437" w:name="_Toc22823"/>
      <w:bookmarkStart w:id="438" w:name="_Toc24527"/>
      <w:bookmarkStart w:id="439" w:name="_Toc21999"/>
      <w:bookmarkStart w:id="440" w:name="_Toc30521"/>
      <w:bookmarkStart w:id="441" w:name="_Toc8783"/>
      <w:bookmarkStart w:id="442" w:name="_Toc23068"/>
      <w:bookmarkStart w:id="443" w:name="_Toc29632"/>
      <w:bookmarkStart w:id="444" w:name="_Toc31955"/>
      <w:bookmarkStart w:id="445" w:name="_Toc31700"/>
      <w:bookmarkStart w:id="446" w:name="_Toc28393"/>
      <w:bookmarkStart w:id="447" w:name="_Toc877"/>
    </w:p>
    <w:p w14:paraId="601535C1">
      <w:pPr>
        <w:bidi w:val="0"/>
        <w:rPr>
          <w:rFonts w:hint="eastAsia"/>
          <w:lang w:val="en-US" w:eastAsia="zh-CN"/>
        </w:rPr>
      </w:pPr>
      <w:r>
        <w:rPr>
          <w:rFonts w:hint="eastAsia"/>
          <w:lang w:val="en-US" w:eastAsia="zh-CN"/>
        </w:rPr>
        <w:t>附件1:2025年城乡居民养老保险支出项目绩效评价指标体系及打分表</w:t>
      </w:r>
      <w:bookmarkEnd w:id="436"/>
      <w:bookmarkEnd w:id="437"/>
      <w:bookmarkEnd w:id="438"/>
      <w:bookmarkEnd w:id="439"/>
      <w:bookmarkEnd w:id="440"/>
      <w:bookmarkEnd w:id="441"/>
      <w:bookmarkEnd w:id="442"/>
      <w:bookmarkEnd w:id="443"/>
      <w:bookmarkEnd w:id="444"/>
      <w:bookmarkEnd w:id="445"/>
      <w:bookmarkEnd w:id="446"/>
      <w:bookmarkEnd w:id="447"/>
    </w:p>
    <w:p w14:paraId="41C91C85">
      <w:pPr>
        <w:bidi w:val="0"/>
        <w:rPr>
          <w:rFonts w:hint="eastAsia"/>
          <w:lang w:val="en-US" w:eastAsia="zh-CN"/>
        </w:rPr>
      </w:pPr>
      <w:bookmarkStart w:id="448" w:name="_Toc4925"/>
      <w:bookmarkStart w:id="449" w:name="_Toc12474"/>
      <w:bookmarkStart w:id="450" w:name="_Toc22291"/>
      <w:bookmarkStart w:id="451" w:name="_Toc13970"/>
      <w:bookmarkStart w:id="452" w:name="_Toc29223"/>
      <w:bookmarkStart w:id="453" w:name="_Toc6946"/>
      <w:bookmarkStart w:id="454" w:name="_Toc23188"/>
      <w:bookmarkStart w:id="455" w:name="_Toc13505"/>
      <w:bookmarkStart w:id="456" w:name="_Toc8612"/>
      <w:bookmarkStart w:id="457" w:name="_Toc2545"/>
      <w:bookmarkStart w:id="458" w:name="_Toc27071"/>
      <w:r>
        <w:rPr>
          <w:rFonts w:hint="eastAsia"/>
          <w:lang w:val="en-US" w:eastAsia="zh-CN"/>
        </w:rPr>
        <w:t>附件2：</w:t>
      </w:r>
      <w:bookmarkEnd w:id="448"/>
      <w:bookmarkEnd w:id="449"/>
      <w:bookmarkEnd w:id="450"/>
      <w:bookmarkEnd w:id="451"/>
      <w:bookmarkEnd w:id="452"/>
      <w:bookmarkEnd w:id="453"/>
      <w:bookmarkEnd w:id="454"/>
      <w:bookmarkEnd w:id="455"/>
      <w:bookmarkEnd w:id="456"/>
      <w:bookmarkEnd w:id="457"/>
      <w:bookmarkEnd w:id="458"/>
      <w:r>
        <w:rPr>
          <w:rFonts w:hint="eastAsia"/>
          <w:lang w:val="en-US" w:eastAsia="zh-CN"/>
        </w:rPr>
        <w:t>2025年城乡居民养老保险支出项目基础信息采集表</w:t>
      </w:r>
    </w:p>
    <w:p w14:paraId="06D80ED3">
      <w:pPr>
        <w:bidi w:val="0"/>
        <w:rPr>
          <w:rFonts w:hint="eastAsia"/>
          <w:lang w:val="en-US" w:eastAsia="zh-CN"/>
        </w:rPr>
      </w:pPr>
      <w:bookmarkStart w:id="459" w:name="_Toc19936"/>
      <w:bookmarkStart w:id="460" w:name="_Toc20076"/>
      <w:bookmarkStart w:id="461" w:name="_Toc14045"/>
      <w:bookmarkStart w:id="462" w:name="_Toc25213"/>
      <w:bookmarkStart w:id="463" w:name="_Toc1115"/>
      <w:bookmarkStart w:id="464" w:name="_Toc16105"/>
      <w:bookmarkStart w:id="465" w:name="_Toc15602"/>
      <w:bookmarkStart w:id="466" w:name="_Toc25749"/>
      <w:bookmarkStart w:id="467" w:name="_Toc25457"/>
      <w:bookmarkStart w:id="468" w:name="_Toc6788"/>
      <w:bookmarkStart w:id="469" w:name="_Toc14727"/>
      <w:bookmarkStart w:id="470" w:name="_Toc11376"/>
      <w:r>
        <w:rPr>
          <w:rFonts w:hint="eastAsia"/>
          <w:lang w:val="zh-CN" w:eastAsia="zh-CN"/>
        </w:rPr>
        <w:t>附件</w:t>
      </w:r>
      <w:r>
        <w:rPr>
          <w:rFonts w:hint="eastAsia"/>
          <w:lang w:val="en-US" w:eastAsia="zh-CN"/>
        </w:rPr>
        <w:t>3：访谈记录</w:t>
      </w:r>
      <w:bookmarkEnd w:id="459"/>
      <w:bookmarkEnd w:id="460"/>
      <w:bookmarkEnd w:id="461"/>
      <w:bookmarkEnd w:id="462"/>
      <w:bookmarkEnd w:id="463"/>
      <w:bookmarkEnd w:id="464"/>
      <w:bookmarkEnd w:id="465"/>
      <w:bookmarkEnd w:id="466"/>
      <w:bookmarkEnd w:id="467"/>
      <w:bookmarkEnd w:id="468"/>
      <w:bookmarkEnd w:id="469"/>
      <w:bookmarkEnd w:id="470"/>
    </w:p>
    <w:p w14:paraId="73FA3A6D">
      <w:pPr>
        <w:bidi w:val="0"/>
        <w:rPr>
          <w:rFonts w:hint="eastAsia"/>
          <w:lang w:val="en-US" w:eastAsia="zh-CN"/>
        </w:rPr>
      </w:pPr>
      <w:bookmarkStart w:id="471" w:name="_Toc19374"/>
      <w:bookmarkStart w:id="472" w:name="_Toc18452"/>
      <w:bookmarkStart w:id="473" w:name="_Toc22066"/>
      <w:bookmarkStart w:id="474" w:name="_Toc29673"/>
      <w:bookmarkStart w:id="475" w:name="_Toc131"/>
      <w:bookmarkStart w:id="476" w:name="_Toc13297"/>
      <w:bookmarkStart w:id="477" w:name="_Toc1354"/>
      <w:bookmarkStart w:id="478" w:name="_Toc18189"/>
      <w:bookmarkStart w:id="479" w:name="_Toc22506"/>
      <w:bookmarkStart w:id="480" w:name="_Toc31266"/>
      <w:bookmarkStart w:id="481" w:name="_Toc20930"/>
      <w:bookmarkStart w:id="482" w:name="_Toc13624"/>
      <w:r>
        <w:rPr>
          <w:rFonts w:hint="eastAsia"/>
          <w:lang w:val="en-US" w:eastAsia="zh-CN"/>
        </w:rPr>
        <w:t>附件4：财政局整体绩效评价报告确认单</w:t>
      </w:r>
      <w:bookmarkEnd w:id="471"/>
      <w:bookmarkEnd w:id="472"/>
      <w:bookmarkEnd w:id="473"/>
      <w:bookmarkEnd w:id="474"/>
      <w:bookmarkEnd w:id="475"/>
      <w:bookmarkEnd w:id="476"/>
      <w:bookmarkEnd w:id="477"/>
      <w:bookmarkEnd w:id="478"/>
      <w:bookmarkEnd w:id="479"/>
      <w:bookmarkEnd w:id="480"/>
      <w:bookmarkEnd w:id="481"/>
      <w:bookmarkEnd w:id="482"/>
    </w:p>
    <w:p w14:paraId="08117D73">
      <w:pPr>
        <w:bidi w:val="0"/>
        <w:rPr>
          <w:rFonts w:hint="default"/>
          <w:lang w:val="en-US" w:eastAsia="zh-CN"/>
        </w:rPr>
      </w:pPr>
      <w:bookmarkStart w:id="483" w:name="_Toc25465"/>
      <w:bookmarkStart w:id="484" w:name="_Toc18537"/>
      <w:bookmarkStart w:id="485" w:name="_Toc434"/>
      <w:bookmarkStart w:id="486" w:name="_Toc25238"/>
      <w:bookmarkStart w:id="487" w:name="_Toc2940"/>
      <w:bookmarkStart w:id="488" w:name="_Toc12544"/>
      <w:bookmarkStart w:id="489" w:name="_Toc16821"/>
      <w:bookmarkStart w:id="490" w:name="_Toc2521"/>
      <w:bookmarkStart w:id="491" w:name="_Toc14256"/>
      <w:bookmarkStart w:id="492" w:name="_Toc25268"/>
      <w:bookmarkStart w:id="493" w:name="_Toc8480"/>
      <w:bookmarkStart w:id="494" w:name="_Toc11144"/>
      <w:r>
        <w:rPr>
          <w:rFonts w:hint="eastAsia"/>
          <w:lang w:val="en-US" w:eastAsia="zh-CN"/>
        </w:rPr>
        <w:t>附件5：预算单位整体绩效评价报告确认单</w:t>
      </w:r>
      <w:bookmarkEnd w:id="483"/>
      <w:bookmarkEnd w:id="484"/>
      <w:bookmarkEnd w:id="485"/>
      <w:bookmarkEnd w:id="486"/>
      <w:bookmarkEnd w:id="487"/>
      <w:bookmarkEnd w:id="488"/>
      <w:bookmarkEnd w:id="489"/>
      <w:bookmarkEnd w:id="490"/>
      <w:bookmarkEnd w:id="491"/>
      <w:bookmarkEnd w:id="492"/>
      <w:bookmarkEnd w:id="493"/>
      <w:bookmarkEnd w:id="494"/>
    </w:p>
    <w:p w14:paraId="2CB3CE4C">
      <w:pPr>
        <w:bidi w:val="0"/>
        <w:rPr>
          <w:rFonts w:hint="eastAsia"/>
          <w:lang w:val="zh-CN" w:eastAsia="zh-CN"/>
        </w:rPr>
      </w:pPr>
      <w:bookmarkStart w:id="495" w:name="_Toc17532"/>
      <w:bookmarkStart w:id="496" w:name="_Toc28510"/>
      <w:bookmarkStart w:id="497" w:name="_Toc19903"/>
      <w:bookmarkStart w:id="498" w:name="_Toc18079"/>
      <w:bookmarkStart w:id="499" w:name="_Toc12066"/>
      <w:bookmarkStart w:id="500" w:name="_Toc17741"/>
      <w:bookmarkStart w:id="501" w:name="_Toc7033"/>
      <w:bookmarkStart w:id="502" w:name="_Toc22323"/>
      <w:bookmarkStart w:id="503" w:name="_Toc22984"/>
      <w:bookmarkStart w:id="504" w:name="_Toc32425"/>
      <w:bookmarkStart w:id="505" w:name="_Toc13606"/>
      <w:bookmarkStart w:id="506" w:name="_Toc25170"/>
      <w:r>
        <w:rPr>
          <w:rFonts w:hint="eastAsia"/>
          <w:lang w:val="zh-CN" w:eastAsia="zh-CN"/>
        </w:rPr>
        <w:t>附件</w:t>
      </w:r>
      <w:r>
        <w:rPr>
          <w:rFonts w:hint="eastAsia"/>
          <w:lang w:val="en-US" w:eastAsia="zh-CN"/>
        </w:rPr>
        <w:t>6：</w:t>
      </w:r>
      <w:r>
        <w:rPr>
          <w:rFonts w:hint="eastAsia"/>
          <w:lang w:val="zh-CN" w:eastAsia="zh-CN"/>
        </w:rPr>
        <w:t>调查问卷结果分析报告及调查问卷样表</w:t>
      </w:r>
      <w:bookmarkEnd w:id="495"/>
      <w:bookmarkEnd w:id="496"/>
      <w:bookmarkEnd w:id="497"/>
      <w:bookmarkEnd w:id="498"/>
      <w:bookmarkEnd w:id="499"/>
      <w:bookmarkEnd w:id="500"/>
      <w:bookmarkEnd w:id="501"/>
      <w:bookmarkEnd w:id="502"/>
      <w:bookmarkEnd w:id="503"/>
      <w:bookmarkEnd w:id="504"/>
      <w:bookmarkEnd w:id="505"/>
      <w:bookmarkEnd w:id="506"/>
    </w:p>
    <w:p w14:paraId="4F4CE2C3">
      <w:pPr>
        <w:bidi w:val="0"/>
        <w:rPr>
          <w:rFonts w:hint="eastAsia"/>
          <w:lang w:val="en-US" w:eastAsia="zh-CN"/>
        </w:rPr>
      </w:pPr>
      <w:bookmarkStart w:id="507" w:name="_Toc9580"/>
      <w:bookmarkStart w:id="508" w:name="_Toc15193"/>
      <w:bookmarkStart w:id="509" w:name="_Toc17098"/>
      <w:bookmarkStart w:id="510" w:name="_Toc29263"/>
      <w:bookmarkStart w:id="511" w:name="_Toc15456"/>
      <w:bookmarkStart w:id="512" w:name="_Toc32440"/>
      <w:bookmarkStart w:id="513" w:name="_Toc17759"/>
      <w:bookmarkStart w:id="514" w:name="_Toc30800"/>
      <w:bookmarkStart w:id="515" w:name="_Toc5609"/>
      <w:bookmarkStart w:id="516" w:name="_Toc21016"/>
      <w:bookmarkStart w:id="517" w:name="_Toc1946"/>
      <w:bookmarkStart w:id="518" w:name="_Toc26922"/>
      <w:r>
        <w:rPr>
          <w:rFonts w:hint="eastAsia"/>
          <w:lang w:val="zh-CN" w:eastAsia="zh-CN"/>
        </w:rPr>
        <w:t>附件</w:t>
      </w:r>
      <w:r>
        <w:rPr>
          <w:rFonts w:hint="eastAsia"/>
          <w:lang w:val="en-US" w:eastAsia="zh-CN"/>
        </w:rPr>
        <w:t>7：工作记录图片</w:t>
      </w:r>
      <w:bookmarkEnd w:id="507"/>
      <w:bookmarkEnd w:id="508"/>
      <w:bookmarkEnd w:id="509"/>
      <w:bookmarkEnd w:id="510"/>
      <w:bookmarkEnd w:id="511"/>
      <w:bookmarkEnd w:id="512"/>
      <w:bookmarkEnd w:id="513"/>
      <w:bookmarkEnd w:id="514"/>
      <w:bookmarkEnd w:id="515"/>
      <w:bookmarkEnd w:id="516"/>
      <w:bookmarkEnd w:id="517"/>
      <w:bookmarkEnd w:id="518"/>
      <w:r>
        <w:rPr>
          <w:rFonts w:hint="eastAsia"/>
          <w:lang w:val="en-US" w:eastAsia="zh-CN"/>
        </w:rPr>
        <w:br w:type="page"/>
      </w:r>
    </w:p>
    <w:p w14:paraId="475582EF">
      <w:pPr>
        <w:rPr>
          <w:rFonts w:hint="eastAsia"/>
          <w:lang w:val="en-US" w:eastAsia="zh-CN"/>
        </w:rPr>
        <w:sectPr>
          <w:footerReference r:id="rId6" w:type="default"/>
          <w:pgSz w:w="11906" w:h="16838"/>
          <w:pgMar w:top="1440" w:right="1800" w:bottom="1440" w:left="1800" w:header="851" w:footer="992" w:gutter="0"/>
          <w:pgNumType w:fmt="numberInDash" w:start="1"/>
          <w:cols w:space="425" w:num="1"/>
          <w:docGrid w:type="lines" w:linePitch="312" w:charSpace="0"/>
        </w:sectPr>
      </w:pPr>
    </w:p>
    <w:p w14:paraId="528238CB">
      <w:pPr>
        <w:pStyle w:val="7"/>
        <w:bidi w:val="0"/>
        <w:ind w:left="0" w:leftChars="0" w:firstLine="0" w:firstLineChars="0"/>
        <w:outlineLvl w:val="0"/>
        <w:rPr>
          <w:rFonts w:hint="eastAsia"/>
          <w:lang w:val="en-US" w:eastAsia="zh-CN"/>
        </w:rPr>
      </w:pPr>
      <w:bookmarkStart w:id="519" w:name="_Toc130"/>
      <w:r>
        <w:rPr>
          <w:rFonts w:hint="eastAsia"/>
          <w:lang w:val="en-US" w:eastAsia="zh-CN"/>
        </w:rPr>
        <w:t>附件1:2025年城乡居民养老保险支出项目绩效评价指标综合评分表</w:t>
      </w:r>
      <w:bookmarkEnd w:id="519"/>
    </w:p>
    <w:tbl>
      <w:tblPr>
        <w:tblStyle w:val="15"/>
        <w:tblW w:w="140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9"/>
        <w:gridCol w:w="844"/>
        <w:gridCol w:w="818"/>
        <w:gridCol w:w="577"/>
        <w:gridCol w:w="981"/>
        <w:gridCol w:w="750"/>
        <w:gridCol w:w="2190"/>
        <w:gridCol w:w="3181"/>
        <w:gridCol w:w="2434"/>
        <w:gridCol w:w="640"/>
        <w:gridCol w:w="730"/>
      </w:tblGrid>
      <w:tr w14:paraId="68A6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8EFC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一级指标</w:t>
            </w: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6681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二级指标</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54A08">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三级指标</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043A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权重</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E023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指标解释</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5E386">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标杆值</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07DD9">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评价标准</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E587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评分规则</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0D28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评分过程</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FFFCB">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得分</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83D5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得分率</w:t>
            </w:r>
          </w:p>
        </w:tc>
      </w:tr>
      <w:tr w14:paraId="3107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trPr>
        <w:tc>
          <w:tcPr>
            <w:tcW w:w="8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B2E60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决策（20分）</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FC9AB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项目立项（5分）</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67F5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立项依据充分性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A39C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3</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F27F1">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项目立项是否符合法律法规、相关政策、发展规划以及部门职责，用以反映和考核项目立项依据情况。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66A0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充分</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2E2C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CFF3B">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以上五项中，符合则得满分，否则扣除相应分数，扣完为止，具体扣分规则如下：若①至③不符合，则每一点扣30%的权重分；若④至⑤中不符合，则每一点扣20%的权重分。</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CF7FD">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该项目依据《关于印发自治区建立统一的城乡居民基本养老保险制度实施办法的通知》（新政发〔2014〕76号）文件设立实施；该项目立项符合国家法律法规、国民经济发展规划，符合自治区颁发的《关于建立自治区城乡居民基本养老保险待遇确定和基础养老金正常调整机制的实施意见》（新人社发〔2018〕43号）文件中：“坚持以人民为中心的发展思想，按照兜底线、织密网、建机制的要求，建立激励约束有效、筹资权责清晰、保障水平适度的城乡居民基本养老保险待遇确定和基础养老金正常调整机制，推动城乡居民基本养老保险待遇水平随经济发展而逐步提高，确保参保居民共享经济社会发展成果，促进城乡居民基本养老保险制度健康发展，不断增强参保居民的获得感、幸福感、安全感”，符合行业发展规划和政策要求；</w:t>
            </w:r>
          </w:p>
          <w:p w14:paraId="636803C1">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该项目立项符合《莎车县社会保险中心单位配置内设机构和人员编制规定》中职责范围中的“负责全县养老（包括机关事业养老保险、城乡居民基本养老保险、企业职工基本养老保险）、失业、工伤的参保登记和征缴工作；对全县养老（包括机关事业养老保险、城乡居民基本养老保险、企业职工基本养老保险）、失业、工伤、职业年金待遇进行审核、支付与结算”，项目立项与莎车县社会保险中心部门职责范围相符，属于莎车县社会保险中心履职所需。</w:t>
            </w:r>
          </w:p>
          <w:p w14:paraId="5DBA9170">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综上所述，该项目立项依据充分，根据评分标准，该指标不扣分，得3分。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5A96A">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3</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30E46">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23D9F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FCD328">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EBDF2C">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BA9C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立项程序规范性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FB6A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7EDC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项目申请、设立过程是否符合相关要求，用以反映和考核项目立项的规范情况。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B058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合规</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E5BD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①项目是否按照规定的程序申请设立；②审批文件、材料是否符合相关要求；③事前是否已经过必要的可行性研究、专家论证、风险评估、绩效评估、集体决策。</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56AF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项目是否按照规定的程序申请设立；②审批文件、材料是否符合相关要求；③事前是否已经过必要的可行性研究、专家论证、风险评估、绩效评估、集体决策。以上三项中，①至③每项满分1分，每发现一处不符扣0.5分，扣完为止。</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9A6C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该项目为非基础建设类项目，不涉及发改立项批复流程，由莎车县社会保险中心自行编制项目实施方案和项目预算申请计划；经查看，该项目申请设立过程中产生的相关文件，符合相关要求。该项目属于专项资金安排项目，由莎车县社会保险中心严格按照《关于建立自治区城乡居民基本养老保险待遇确定和基础养老金正常调整机制的实施意见》（新人社发〔2018〕43号）文件要求实施，根据决策依据编制工作计划和经费预算，经过与各部门县政府分管领导进行沟通、筛选确定经费预算计划，上党委会研究确定最终预算方案，由莎车县社会保险中心制定方案提出申请，地区审核批准后实施。</w:t>
            </w:r>
          </w:p>
          <w:p w14:paraId="40C00D0E">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综上所述，该项目立项程序规范，根据评分标准，该指标不扣分，得2分。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82FF6">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6EB85">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3041F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C1DAC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05EABC">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绩效目标（5分）</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93EE2">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绩效目标合理性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5B4C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3</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F4221">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项目所设定的绩效目标是否依据充分，是否符合客观实际，用以反映和考核项目绩效目标与项目实施的相符情况。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8B99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合理</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DD7C9">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①项目是否有绩效目标；②项目绩效目标与实际工作内容是否具有相关性；③项目预期产出效益和效果是否符合正常的业绩水平；④是否与预算确定的项目投资额或资金量相匹配。</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7F27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项目是否有绩效目标；②项目绩效目标与实际工作内容是否具有相关性；③项目预期产出效益和效果是否符合正常的业绩水平；④是否与预算确定的项目投资额或资金量相匹配。以上四项中，若①不符合，则此指标不得分；若①符合，则②③④分别占25%的权重分，符合则得分，否则扣除相应权重分，扣完为止。</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B8F09">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该项目工作任务目标合理，制定了2025年城乡居民养老保险支出项目实施方案，该项目已设置年度绩效目标，具体内容为“项目共下达资金19538.19万元，对符合条件的65196名城乡老年居民发放12次基础养老金，发放4352人丧葬费，个人账户支出52518人，转移支出202人，其他支出109人，通过项目实施，保障养老保险参保人员待遇，保障老年人生活水平与质量”，明确了总体思路及目标、并对任务进行了详细分解，对目标进行了细化；该项目实际工作为：项目资金支出19538.19万元，完成对符合条件的65196名城乡老年居民发放12次基础养老金，发放丧葬费4352人，个人账户支出52518人，转移支出202人，其他支出109人，有效保障养老保险参保人员待遇，保障老人生活水平与质量；绩效目标与实际工作内容一致，两者具有相关性；该项目按照绩效目标完成数量指标、质量指标、时效指标、成本指标，确保了符合待遇领取条件的城乡参保居民能够按时足额领取补助资金，改善了补助人群生活质量，年度绩效目标完成，预期产出效益和效果符合正常的业绩水平。</w:t>
            </w:r>
          </w:p>
          <w:p w14:paraId="550FD244">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综上所述，该项目绩效目标设置合理，根据评分标准，该指标不扣分，得3分。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E5AA2">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3</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778C2">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4D99E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4"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D7515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74D4A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8040B">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绩效指标明确性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620A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D25B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依据绩效目标设定的绩效指标是否清晰、细化、可衡量等，用以反映和考核项目绩效目标的明细化情况。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A574C">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明确</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4AEA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①是否将项目绩效目标细化分解为具体的绩效指标；②是否通过清晰、可衡量的指标值予以体现；③是否与项目目标任务数或计划数相对应。</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F8FD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是否将项目绩效目标细化分解为具体的绩效指标；②绩效目标和指标具备明确性（目标是否指向明确）、可衡量性（通过清晰、可衡量的指标予以体现）、可实现性（项目预期产出和效果符合正常的业绩水平）、相关性（绩效目标与预算的关联性）、时限性（有明确目标实现时间）。以上两项中，若①不符合，则此指标不得分；若①符合，则②中每小点占20%的权重分，符合则得分，否则扣除相应权重分，扣完为止。</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79B3C">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通过查看该项目《绩效目标申报表》与《项目实施方案》，得出如下结论，该项目已将年度绩效目标进行细化为绩效指标体系，共设置一级指标4个，二级指标6个，三级指标16个，定量指标15个，定性指标1个，指标量化率为93.75%，量化率达70.00%以上。莎车县社会保险中心已将该项目核心内容细化分解为具体的绩效指标，绩效指标明确。</w:t>
            </w:r>
          </w:p>
          <w:p w14:paraId="42E238B1">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综上所述，该项目所设置绩效指标明确，根据评分标准，该指标不扣分，得2分。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27707">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6A4BC">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139B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A87E0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D28DF9">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资金投入（10分）</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0C5C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预算编制科学性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6E67C">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5</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EC261">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项目预算编制是否经过科学论证、有明确标准，资金额度与年度目标是否相适应，用以反映和考核项目预算编制的科学性、合理性情况。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5FCD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科学</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58DE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①预算编制是否经过科学论证；②预算内容与项目内容是否匹配；③预算额度测算依据是否充分，是否按照标准编制；④预算确定的项目投资额或资金量是否与工作任务相匹配。</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2999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预算编制是否经过科学论证；②预算内容与项目内容是否匹配；③预算额度测算依据是否充分，是否按照标准编制；④预算确定的项目投资额或资金量是否与工作任务相匹配。以上四项①至④分别占30%、30%、20%和20%的权重分，符合则得分，否则扣除相应权重分，扣完为止。</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4D18F">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通过查看项目预算编制草案，该项目预算编制根据中央、自治区补助标准，结合上年度数据安排预算资金19538.19万元，预算编制较科学且经过论证；该项目预算申请内容为对符合条件的城乡老年居民按月发放基础养老金，年累计发放12次；发放丧葬补助金、保障个人账户支出、转移支出、其他支出等，项目实际内容为按月支付城乡居民养老待遇，并发放丧葬补助金，保障个人账户支出、转移支出、其他支出等，预算申请与《2025年城乡居民养老保险支出项目实施方案》中涉及的项目内容匹配；该项目预算编制经过科学论证，内容与项目内容匹配，项目投资额与工作任务相匹配。</w:t>
            </w:r>
          </w:p>
          <w:p w14:paraId="116E11CC">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综上所述，该项目预算编制经过科学论证，根据评分标准，该指标不扣分，得5分。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3B52E">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5</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8116B">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30391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B3A37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F0726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6985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资金分配合理性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28B1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5</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34BB9">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项目预算资金分配是否有测算依据，与补助单位或地方实际是否相适应，用以反映和考核项目预算资金分配的科学性、合理性情况。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E3162">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合理</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6E63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①预算资金分配依据是否充分；②资金分配额度是否合理，与项目单位或地方实际是否相适应。</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AD14C">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预算资金分配依据是否充分；②资金分配额度是否合理，与项目单位或地方实际是否相适应。以上两项分别占50%的权重分，符合则得分，否则扣除相应权重的100%、80%、60%、40%和20%的分值，扣完为止。</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1AA50">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6）该项目实际分配资金以中央、自治区补助标准，结合上年度数据安排预算，根据《关于印发自治区建立统一的城乡居民基本养老保险制度实施办法的通知》（新政发〔2014〕76号）、《关于建立自治区城乡居民基本养老保险待遇确定和基础养老金正常调整机制的实施意见》（新人社发〔2018〕43号）文件为依据，预算资金分配依据充分。根据财政综合管理信息系统指标额度显示，该项目实际到位资金19538.19万元，实际分配资金与莎车县社会保险中心提交申请的资金额度一致，资金分配额度合理，与莎车县社会保险中心实际需求相适应。该项目资金分配合理，项目资金预算草案由莎车县社会保险中心制定，地区审核，资金分配与实际相适应。</w:t>
            </w:r>
          </w:p>
          <w:p w14:paraId="694FEB7D">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综上所述，该项目资金分配合理，根据评分标准，该指标不扣分，得5分。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AAC60">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5</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C69D6">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1AAAE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8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8480A6">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过程（20分）</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00A0A6">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资金管理（15分）</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34E16">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资金到位率</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08A88">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5</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C6B2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实际到位资金与预算资金的比率，用以反映和考核资金落实情况对项目实施的总体保障程度。</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6AFE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100%</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3CDB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资金到位率=（实际到位资金/预算资金）×100%。实际到位资金：一定时期（本年度或项目期）内落实到具体项目的资金。预算资金：一定时期（本年度或项目期）内预算安排到具体项目的资金。</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D541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资金到位率=（实际到位资金/预算资金）×100%。项目完成且资金到位数满足年度预算规模需求，得5分；项目尚未完成，资金到位率小于100%且大于等于80%的得2分，资金到位率小于80%且大于等于60%的得1.50分，资金到位率小于60%的不得分。</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1F6A7">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该项目预算资金19538.19万元，其中：社会保险基金19538.19万元，实际到位资金19538.19万元，资金到位率=（实际到位资金/预算资金）×100.00%=（19538.19/19538.19）×100.00%=100%。得分=资金到位率×分值=100%×5=5分。财政资金足额拨付到位，根据评分标准，该指标不扣分，得5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DB5E0">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5</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4324D">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36489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88D2C2">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77A10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15BB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预算执行率</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D30FB">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5</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F4BE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项目预算资金是否按照计划执行，用以反映或考核项目预算执行情况。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F54C9">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100%</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B815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预算执行率=（实际支出资金/实际到位资金）×100%。实际支出资金：一定时期（本年度或项目期）内项目实际拨付的资金。</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641C1">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预算执行率=（实际支出资金/实际到位资金）×100%。得分=权重*预算执行率。</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8584D">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通过查阅该项目会计凭证，该项目1月支付基础养老金及丧葬补助金等待遇支出1753.19万元，2月支付基础养老金及丧葬补助金等待遇支出1551.77万元，3月支付基础养老金及丧葬补助金等待遇支出1437.7万元，4月支付基础养老金及丧葬补助金等待遇支出1556.51万元，5月支付基础养老金及丧葬补助金等待遇支出1450.19万元，6月支付基础养老金及丧葬补助金等待遇支出1486.52万元，7月支付基础养老金及丧葬补助金等待遇支出1482.3万元，8月支付基础养老金及丧葬补助金等待遇支出1479.3万元，9月支付基础养老金及丧葬补助金等待遇支出1996.76万元，10月支付基础养老金及丧葬补助金等待遇支出1744.63万元，11月支付基础养老金及丧葬补助金等待遇支出1752.35万元，12月支付基础养老金及丧葬补助金等待遇支出1846.97万元。预算执行率=（实际支出资金/实际到位资金）×100.00%=（19538.19/19538.19）×100.00%=100%。得分=预算执行率×分值=100%×5=5分。该项目执行资金19538.19万元，执行率达100%。根据评分标准，该指标不扣分，得5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EF5EC">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5</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166E9">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75B53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2C6026">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5BAA7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0C3A6">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资金使用合规性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FA05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5</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C589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考察项目单位资金的使用规范程度。项目资金使用是否符合相关法律法规、制度和规定，用以反映和考核项目资金使用的规范性和安全性。</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0A95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合规</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6371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是否符合国家财经法规和财务管理制度以及有关专项资金管理办法的规定；②资金的拨付是否有完整的审批程序和手续；③是否符合项目预算批复或合同规定的用途；④是否存在截留、挤占、挪用、虚列支出等情况。</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6ECB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是否符合国家财经法规和财务管理制度以及有关专项资金管理办法的规定；②是否符合项目预算批复或合同规定的用途；③是否存在截留、挤占、挪用、虚列支出等情况；④资金的拨付是否有完整的审批程序和手续。以上四项分别占25%的权重分，不满足①或②或③时属于严重违规事项，本项指标不得分，在符合①、②和③的条件下，其他各项符合则得分，否则扣除相应权重分，扣完为止。</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F8F76">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通过查阅单位会计原始凭证，项目资金由国库直接支付至财政专户，资金支出符合《关于建立自治区城乡居民基本养老保险待遇确定和基础养老金正常调整机制的实施意见》（新人社发〔2018〕43号）、《社会保险基金财务制度》（财社〔2017〕144号）文件要求，符合莎车县社会保险中心财务管理制度及国库集中支付制度，资金使用合规，根据评分标准，该指标不扣分，得5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1F68C">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5</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21936">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352FA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8A4D4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CC50F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组织实施（5分）</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8ACA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管理制度健全性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93A9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1DC7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项目实施单位的财务和业务管理制度是否健全，用以反映和考核财务和业务管理制度对项目顺利实施的保障情况。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A3832">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健全</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7FD3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①是否已制定或具有相应的财务和业务管理制度；②财务和业务管理制度是否合法、合规、完整。</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326A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是否已制定或具有相应的财务和业务管理制度；②财务和业务管理制度是否合法、合规、完整。以上两项分别占50%的权重分，符合则得分，否则扣除相应权重的100%、80%、60%、40%和20%的分值，扣完为止。</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F7231">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莎车县社会保险中心制定《莎车县社会保险中心资金管理办法》《莎车县社会保险中心收支业务管理制度》《莎车县社会保险中心财务管理制度》《莎车县社会保险中心社会保险经办内部控制制度》，对财政专项资金进行严格管理，做到了专款专用，根据评分标准，该指标不扣分，得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97845">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65269">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4DABE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38AE92">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B5B61">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7209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制度执行有效性</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C62D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3</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A5A2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项目实施是否符合相关管理规定，用以反映和考核相关管理制度的有效执行情况。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5EFE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有效</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F6C2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①是否遵守相关法律法规和相关管理规定；②项目调整及支出调整手续是否完备；③按月足额发放应发待遇；④及时认证需认证人员</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90A4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评价要点：①是否遵守相关法律法规和相关管理规定；②项目调整及支出调整手续是否完备；③按月足额发放应发待遇；④及时认证需认证人员。以上四项中，①占40%的权重分，②至④分别占20%的权重分，各项符合则得分，否则扣除相应权重的100%、80%、60%、40%和20%的分值，扣完为止。</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6E90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经对比分析该项目实际执行过程资料和已建立的项目管理制度和财务管理制度，得出该项目严格按照本单位已建立制度执行。项目资金支出严格按照中央、自治区、地区、县以及本单位资金管理办法执行，项目启动实施后，为了加快该项目的实施，莎车县社会保险中心成立了2025年城乡居民养老保险支出项目工作领导小组，由社保中心党支部书记、副主任陈春红任组长，负责项目组织工作；王鹏、张波、沈康、何秀负责项目实施、项目监督管理以及资金核拨等工作。部门提出经费预算支出可行性方案，经过与县政府分管领导沟通后，报党支部会议研究执行，财务对资金的使用合法合规性进行监督，年底对资金使用效果进行自评，该项目制度执行有效，项目严格按照社会保险中心财务管理制度和莎车县社会保险中心社会保险经办内部控制制度运行，项目监管有效，未出现履职不到位的情况，但在查看资料过程中，发现少量到龄参保群众因外出务工、不会线上操作、遗忘认证时限等原因，未按期完成年度资格核验，按照城乡居民养老保险管理相关规定，对该类人员临时暂停发放养老金；该类人员属于未完成认证、暂不满足当期待遇发放条件，根据评分标准，该指标扣1分，得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ECEAA">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13A63">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66.67%</w:t>
            </w:r>
          </w:p>
        </w:tc>
      </w:tr>
      <w:tr w14:paraId="1602A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8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E6394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产出（40分）</w:t>
            </w:r>
          </w:p>
        </w:tc>
        <w:tc>
          <w:tcPr>
            <w:tcW w:w="844" w:type="dxa"/>
            <w:vMerge w:val="restart"/>
            <w:tcBorders>
              <w:top w:val="single" w:color="000000" w:sz="4" w:space="0"/>
              <w:left w:val="single" w:color="000000" w:sz="4" w:space="0"/>
              <w:right w:val="single" w:color="000000" w:sz="4" w:space="0"/>
            </w:tcBorders>
            <w:shd w:val="clear" w:color="auto" w:fill="FFFFFF"/>
            <w:vAlign w:val="center"/>
          </w:tcPr>
          <w:p w14:paraId="76892406">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产出数量（10分）</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7ADF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符合条件的城乡老年居民基础养老金发放次数</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27F57">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6471E">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eastAsia="zh-CN"/>
              </w:rPr>
            </w:pPr>
            <w:r>
              <w:rPr>
                <w:rFonts w:hint="eastAsia" w:ascii="方正仿宋_GBK" w:hAnsi="方正仿宋_GBK" w:eastAsia="方正仿宋_GBK" w:cs="方正仿宋_GBK"/>
                <w:lang w:val="en-US" w:eastAsia="zh-CN"/>
              </w:rPr>
              <w:t>考察符合条件的城乡老年居民基础养老金发放次数</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D43BE">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=12次</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7255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实际完成率=（实际产出数/计划产出数）×100%。实际产出数量：一定时期（本年度或项目期）内项目实际产出的产品或提供的服务数量。计划产出数：项目绩效目标确定的在一定时期（本年度或项目期）内计划产出的产品或提供的服务数量。</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4D49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370E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符合条件的城乡老年居民基础养老金发放次数指标，预期目标为等于12次，通过查看2025年城乡居民养老保险支出项目情况说明，该指标实际完成12次，指标完成率100%。所设分值为2分，实际得分为2分。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6C770">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0D69B">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27828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869" w:type="dxa"/>
            <w:vMerge w:val="continue"/>
            <w:tcBorders>
              <w:left w:val="single" w:color="000000" w:sz="4" w:space="0"/>
              <w:right w:val="single" w:color="000000" w:sz="4" w:space="0"/>
            </w:tcBorders>
            <w:shd w:val="clear" w:color="auto" w:fill="FFFFFF"/>
            <w:vAlign w:val="center"/>
          </w:tcPr>
          <w:p w14:paraId="20BF7692">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44" w:type="dxa"/>
            <w:vMerge w:val="continue"/>
            <w:tcBorders>
              <w:left w:val="single" w:color="000000" w:sz="4" w:space="0"/>
              <w:right w:val="single" w:color="000000" w:sz="4" w:space="0"/>
            </w:tcBorders>
            <w:shd w:val="clear" w:color="auto" w:fill="FFFFFF"/>
            <w:vAlign w:val="center"/>
          </w:tcPr>
          <w:p w14:paraId="3B2125C7">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ADC1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城乡待遇发放人数</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917A3">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7A409">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考察城乡待遇发放人数</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0A695">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65196人</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602A9">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实际完成率=（实际产出数/计划产出数）×100%。实际产出数量：一定时期（本年度或项目期）内项目实际产出的产品或提供的服务数量。计划产出数：项目绩效目标确定的在一定时期（本年度或项目期）内计划产出的产品或提供的服务数量。</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D58D3">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3F12C">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城乡待遇发放人数指标，预期目标为大于等于65196人，通过查看城乡居民基本养老保险情况统计表，该指标实际完成65196人，指标完成率100%。所设分值为2分，实际得分为2分。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9F494">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7FEBA">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3B3E3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869" w:type="dxa"/>
            <w:vMerge w:val="continue"/>
            <w:tcBorders>
              <w:left w:val="single" w:color="000000" w:sz="4" w:space="0"/>
              <w:right w:val="single" w:color="000000" w:sz="4" w:space="0"/>
            </w:tcBorders>
            <w:shd w:val="clear" w:color="auto" w:fill="FFFFFF"/>
            <w:vAlign w:val="center"/>
          </w:tcPr>
          <w:p w14:paraId="55D59931">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44" w:type="dxa"/>
            <w:vMerge w:val="continue"/>
            <w:tcBorders>
              <w:left w:val="single" w:color="000000" w:sz="4" w:space="0"/>
              <w:right w:val="single" w:color="000000" w:sz="4" w:space="0"/>
            </w:tcBorders>
            <w:shd w:val="clear" w:color="auto" w:fill="FFFFFF"/>
            <w:vAlign w:val="center"/>
          </w:tcPr>
          <w:p w14:paraId="05256BB7">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CFD3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丧葬发放人数</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C62BC">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A4646">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丧葬发放人数</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E178E">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4352人</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DDD4B">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实际完成率=（实际产出数/计划产出数）×100%。实际产出数量：一定时期（本年度或项目期）内项目实际产出的产品或提供的服务数量。计划产出数：项目绩效目标确定的在一定时期（本年度或项目期）内计划产出的产品或提供的服务数量。</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75239">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74FF2">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丧葬发放人数指标，预期目标为大于等于4352人，通过查看莎车县城乡居民养老保险发放丧葬费明细表，该指标实际完成4352人，指标完成率100%。所设分值为2分，实际得分为2分。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AB531">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4FEAA">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1722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869" w:type="dxa"/>
            <w:vMerge w:val="continue"/>
            <w:tcBorders>
              <w:left w:val="single" w:color="000000" w:sz="4" w:space="0"/>
              <w:right w:val="single" w:color="000000" w:sz="4" w:space="0"/>
            </w:tcBorders>
            <w:shd w:val="clear" w:color="auto" w:fill="FFFFFF"/>
            <w:vAlign w:val="center"/>
          </w:tcPr>
          <w:p w14:paraId="3B9F66D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44" w:type="dxa"/>
            <w:vMerge w:val="continue"/>
            <w:tcBorders>
              <w:left w:val="single" w:color="000000" w:sz="4" w:space="0"/>
              <w:right w:val="single" w:color="000000" w:sz="4" w:space="0"/>
            </w:tcBorders>
            <w:shd w:val="clear" w:color="auto" w:fill="FFFFFF"/>
            <w:vAlign w:val="center"/>
          </w:tcPr>
          <w:p w14:paraId="664CC2C3">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2932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个人账户支出人数</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E5011">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D3DE5">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个人账户支出人数</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E7995">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52518人</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2BDAC">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实际完成率=（实际产出数/计划产出数）×100%。实际产出数量：一定时期（本年度或项目期）内项目实际产出的产品或提供的服务数量。计划产出数：项目绩效目标确定的在一定时期（本年度或项目期）内计划产出的产品或提供的服务数量。</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611F2">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D5534">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个人账户支出人数指标，预期目标为大于等于52518人，通过查看城乡居民养老保险个人账户支出明细，该指标实际完成52518人，指标完成率100%。所设分值为2分，实际得分为2分。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1AB51">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2A8BB">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55432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869" w:type="dxa"/>
            <w:vMerge w:val="continue"/>
            <w:tcBorders>
              <w:left w:val="single" w:color="000000" w:sz="4" w:space="0"/>
              <w:right w:val="single" w:color="000000" w:sz="4" w:space="0"/>
            </w:tcBorders>
            <w:shd w:val="clear" w:color="auto" w:fill="FFFFFF"/>
            <w:vAlign w:val="center"/>
          </w:tcPr>
          <w:p w14:paraId="5BDDBDF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44" w:type="dxa"/>
            <w:vMerge w:val="continue"/>
            <w:tcBorders>
              <w:left w:val="single" w:color="000000" w:sz="4" w:space="0"/>
              <w:right w:val="single" w:color="000000" w:sz="4" w:space="0"/>
            </w:tcBorders>
            <w:shd w:val="clear" w:color="auto" w:fill="FFFFFF"/>
            <w:vAlign w:val="center"/>
          </w:tcPr>
          <w:p w14:paraId="7A8D0C5D">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57AC9">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转移支出人数</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DFDF9">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E8513">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转移支出人数</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33CF7">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202人</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69BAB">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实际完成率=（实际产出数/计划产出数）×100%。实际产出数量：一定时期（本年度或项目期）内项目实际产出的产品或提供的服务数量。计划产出数：项目绩效目标确定的在一定时期（本年度或项目期）内计划产出的产品或提供的服务数量。</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BAA6C">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24BE3">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转移支出人数指标，预期目标为大于等于202人，通过查看城乡居民转移支付交易明细列表，该指标实际完成202人，指标完成率100%。所设分值为1分，实际得分为1分。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4EA64">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1</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3F93D">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100%</w:t>
            </w:r>
          </w:p>
        </w:tc>
      </w:tr>
      <w:tr w14:paraId="37C1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869" w:type="dxa"/>
            <w:vMerge w:val="continue"/>
            <w:tcBorders>
              <w:left w:val="single" w:color="000000" w:sz="4" w:space="0"/>
              <w:right w:val="single" w:color="000000" w:sz="4" w:space="0"/>
            </w:tcBorders>
            <w:shd w:val="clear" w:color="auto" w:fill="FFFFFF"/>
            <w:vAlign w:val="center"/>
          </w:tcPr>
          <w:p w14:paraId="054E6649">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44" w:type="dxa"/>
            <w:vMerge w:val="continue"/>
            <w:tcBorders>
              <w:left w:val="single" w:color="000000" w:sz="4" w:space="0"/>
              <w:bottom w:val="single" w:color="000000" w:sz="4" w:space="0"/>
              <w:right w:val="single" w:color="000000" w:sz="4" w:space="0"/>
            </w:tcBorders>
            <w:shd w:val="clear" w:color="auto" w:fill="FFFFFF"/>
            <w:vAlign w:val="center"/>
          </w:tcPr>
          <w:p w14:paraId="4954E199">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D041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其他支出人数</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88338">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98760">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其他支出人数</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E13BE">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109人</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76E7B">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实际完成率=（实际产出数/计划产出数）×100%。实际产出数量：一定时期（本年度或项目期）内项目实际产出的产品或提供的服务数量。计划产出数：项目绩效目标确定的在一定时期（本年度或项目期）内计划产出的产品或提供的服务数量。</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3DB5F">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75801">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其他支出人数指标，预期目标为大于等于109人，通过查看城乡居民养老保险退保费基金明细列表，该指标实际完成109人，指标完成率100%。所设分值为1分，实际得分为1分。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3880A">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1</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ADF2B">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100%</w:t>
            </w:r>
          </w:p>
        </w:tc>
      </w:tr>
      <w:tr w14:paraId="3F27B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B4F47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tcBorders>
              <w:top w:val="single" w:color="000000" w:sz="4" w:space="0"/>
              <w:left w:val="single" w:color="000000" w:sz="4" w:space="0"/>
              <w:right w:val="single" w:color="000000" w:sz="4" w:space="0"/>
            </w:tcBorders>
            <w:shd w:val="clear" w:color="auto" w:fill="FFFFFF"/>
            <w:vAlign w:val="center"/>
          </w:tcPr>
          <w:p w14:paraId="52092BB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产出质量（10分）</w:t>
            </w:r>
          </w:p>
        </w:tc>
        <w:tc>
          <w:tcPr>
            <w:tcW w:w="818"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01EB852">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符合待遇享受条件人员享受待遇率</w:t>
            </w:r>
          </w:p>
        </w:tc>
        <w:tc>
          <w:tcPr>
            <w:tcW w:w="57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EF5D123">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rPr>
            </w:pPr>
            <w:r>
              <w:rPr>
                <w:rFonts w:hint="eastAsia" w:ascii="方正仿宋_GBK" w:hAnsi="方正仿宋_GBK" w:eastAsia="方正仿宋_GBK" w:cs="方正仿宋_GBK"/>
                <w:lang w:val="en-US" w:eastAsia="zh-CN"/>
              </w:rPr>
              <w:t>10</w:t>
            </w:r>
          </w:p>
        </w:tc>
        <w:tc>
          <w:tcPr>
            <w:tcW w:w="98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B63588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eastAsia="zh-CN"/>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符合待遇享受条件人员享受待遇率</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BF11BF6">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100%</w:t>
            </w:r>
          </w:p>
        </w:tc>
        <w:tc>
          <w:tcPr>
            <w:tcW w:w="219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12B8728">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质量达标率=（质量达标产出数/实际产出数）×100%。质量达标产出数：一定时期（本年度或项目期）内实际达到既定质量标准的产品或服务数量。既定质量标准是指项目实施单位在设立绩效目标时依据计划标准、行业标准、历史标准或其他标准而设定的绩效指标值。</w:t>
            </w:r>
          </w:p>
        </w:tc>
        <w:tc>
          <w:tcPr>
            <w:tcW w:w="318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7116DF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D88406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符合待遇享受条件人员享受待遇率指标，预期目标为等于100%，通过查看2025年城乡居民养老保险支出项目情况说明，该指标实际完成100%，指标完成率100%，所设分值为10分，实际得分为10分。</w:t>
            </w:r>
          </w:p>
        </w:tc>
        <w:tc>
          <w:tcPr>
            <w:tcW w:w="64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B256B65">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w:t>
            </w:r>
          </w:p>
        </w:tc>
        <w:tc>
          <w:tcPr>
            <w:tcW w:w="73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3384C4C">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568A1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8"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09CDE2">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tcBorders>
              <w:top w:val="single" w:color="000000" w:sz="4" w:space="0"/>
              <w:left w:val="single" w:color="000000" w:sz="4" w:space="0"/>
              <w:right w:val="single" w:color="000000" w:sz="4" w:space="0"/>
            </w:tcBorders>
            <w:shd w:val="clear" w:color="auto" w:fill="FFFFFF"/>
            <w:vAlign w:val="center"/>
          </w:tcPr>
          <w:p w14:paraId="19A339D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产出时效（10分）</w:t>
            </w:r>
          </w:p>
        </w:tc>
        <w:tc>
          <w:tcPr>
            <w:tcW w:w="818"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D73B181">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基础养老金按时足额发放比率</w:t>
            </w:r>
          </w:p>
        </w:tc>
        <w:tc>
          <w:tcPr>
            <w:tcW w:w="57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6D7EE28">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rPr>
            </w:pPr>
            <w:r>
              <w:rPr>
                <w:rFonts w:hint="eastAsia" w:ascii="方正仿宋_GBK" w:hAnsi="方正仿宋_GBK" w:eastAsia="方正仿宋_GBK" w:cs="方正仿宋_GBK"/>
                <w:lang w:val="en-US" w:eastAsia="zh-CN"/>
              </w:rPr>
              <w:t>10</w:t>
            </w:r>
          </w:p>
        </w:tc>
        <w:tc>
          <w:tcPr>
            <w:tcW w:w="98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375106E">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eastAsia="zh-CN"/>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基础养老金按时足额发放比率</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A4DE830">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c>
          <w:tcPr>
            <w:tcW w:w="219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E6ADF7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实际完成时间：项目实施单位完成该项目实际所耗用的时间。计划完成时间：按照项目实施计划或相关规定完成该项目所需的时间。</w:t>
            </w:r>
          </w:p>
        </w:tc>
        <w:tc>
          <w:tcPr>
            <w:tcW w:w="318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5EFD4C2">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FE8D38D">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基础养老金按时足额发放比率指标，预期目标为等于100%，通过查看2025年城乡居民养老保险支出项目情况说明，该指标实际完成100%，指标完成率100%，所设分值为10分，实际得分为10分。</w:t>
            </w:r>
          </w:p>
        </w:tc>
        <w:tc>
          <w:tcPr>
            <w:tcW w:w="64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223CFA1">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w:t>
            </w:r>
          </w:p>
        </w:tc>
        <w:tc>
          <w:tcPr>
            <w:tcW w:w="73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8E3D63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420E6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61439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restart"/>
            <w:tcBorders>
              <w:top w:val="single" w:color="000000" w:sz="4" w:space="0"/>
              <w:left w:val="single" w:color="000000" w:sz="4" w:space="0"/>
              <w:right w:val="single" w:color="000000" w:sz="4" w:space="0"/>
            </w:tcBorders>
            <w:shd w:val="clear" w:color="auto" w:fill="FFFFFF"/>
            <w:vAlign w:val="center"/>
          </w:tcPr>
          <w:p w14:paraId="67EB7D2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产出成本（10分）</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F8DEF">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城乡居民基础养老金平均标准</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63DD5">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61D5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考察城乡居民基础养老金平均标准</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786C2">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2719元/年</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6DEFB">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A6FD6">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03761">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城乡居民基础养老金平均标准指标，预期目标为小于等于2719元/年，通过查看2025年城乡居民养老保险支出项目执行进度明细表，该指标实际完成2719元/年，指标完成率100%，所设分值为2分，实际得分为2分。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02214">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80A7F">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22B5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AA2BC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left w:val="single" w:color="000000" w:sz="4" w:space="0"/>
              <w:right w:val="single" w:color="000000" w:sz="4" w:space="0"/>
            </w:tcBorders>
            <w:shd w:val="clear" w:color="auto" w:fill="FFFFFF"/>
            <w:vAlign w:val="center"/>
          </w:tcPr>
          <w:p w14:paraId="522F246F">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6764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个人账户支出预计人均</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27304">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1E77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个人账户支出预计人均</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99070">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244.92元</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134AF">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4B61D">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53D0A">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color w:val="000000"/>
                <w:kern w:val="2"/>
                <w:sz w:val="20"/>
                <w:szCs w:val="22"/>
                <w:lang w:val="en-US" w:eastAsia="zh-CN" w:bidi="ar-SA"/>
              </w:rPr>
              <w:t>个人账户支出预计人均指标，预期目标为小于等于244.92元，通过查看2025年城乡居民养老保险支出项目执行进度明细表，该指标实际完成244.92元，指标完成率100%，所设分值为2分，实际得分为2分。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44523">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8650C">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7019B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2BAB4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left w:val="single" w:color="000000" w:sz="4" w:space="0"/>
              <w:right w:val="single" w:color="000000" w:sz="4" w:space="0"/>
            </w:tcBorders>
            <w:shd w:val="clear" w:color="auto" w:fill="FFFFFF"/>
            <w:vAlign w:val="center"/>
          </w:tcPr>
          <w:p w14:paraId="0507D73A">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F713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丧葬补助发放人均</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0ED5B">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B34C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丧葬补助发放人均</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1F7C9">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900元</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2EF95">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29010">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89D43">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rPr>
              <w:t>丧葬补助发放人均指标，预期目标为小于等于900元，通过查看2025年城乡居民养老保险支出项目执行进度明细表，该指标实际完成900元，指标完成率100%，所设分值为2分，实际得分为2分。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5ECE8">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94D57">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4DE9C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D26E1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left w:val="single" w:color="000000" w:sz="4" w:space="0"/>
              <w:right w:val="single" w:color="000000" w:sz="4" w:space="0"/>
            </w:tcBorders>
            <w:shd w:val="clear" w:color="auto" w:fill="FFFFFF"/>
            <w:vAlign w:val="center"/>
          </w:tcPr>
          <w:p w14:paraId="3CD183B0">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E509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转移支出人均</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D7E7F">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F65E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转移支出人均</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82B7F">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3576.89元</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F0E89">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BB5C2">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A5742">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color w:val="000000"/>
                <w:kern w:val="2"/>
                <w:sz w:val="20"/>
                <w:szCs w:val="22"/>
                <w:lang w:val="en-US" w:eastAsia="zh-CN" w:bidi="ar-SA"/>
              </w:rPr>
              <w:t>转移支出人均指标，预期目标为小于等于3576.89元，通过查看2025年城乡居民养老保险支出项目执行进度明细表，该指标实际完成3576.89元，指标完成率100%，所设分值为2分，实际得分为2分。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F5B6D">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2</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8CB19">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414E6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8FFB19">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left w:val="single" w:color="000000" w:sz="4" w:space="0"/>
              <w:right w:val="single" w:color="000000" w:sz="4" w:space="0"/>
            </w:tcBorders>
            <w:shd w:val="clear" w:color="auto" w:fill="FFFFFF"/>
            <w:vAlign w:val="center"/>
          </w:tcPr>
          <w:p w14:paraId="68D67B05">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B22D0">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其他支出人均</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BC48A">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BDFE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考察</w:t>
            </w:r>
            <w:r>
              <w:rPr>
                <w:rFonts w:hint="eastAsia" w:ascii="方正仿宋_GBK" w:hAnsi="方正仿宋_GBK" w:eastAsia="方正仿宋_GBK" w:cs="方正仿宋_GBK"/>
              </w:rPr>
              <w:t>其他支出人均</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7FE5B">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2562.07元</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062AE">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75B5E">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5C98E">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color w:val="000000"/>
                <w:kern w:val="2"/>
                <w:sz w:val="20"/>
                <w:szCs w:val="22"/>
                <w:lang w:val="en-US" w:eastAsia="zh-CN" w:bidi="ar-SA"/>
              </w:rPr>
            </w:pPr>
            <w:r>
              <w:rPr>
                <w:rFonts w:hint="eastAsia" w:ascii="方正仿宋_GBK" w:hAnsi="方正仿宋_GBK" w:eastAsia="方正仿宋_GBK" w:cs="方正仿宋_GBK"/>
              </w:rPr>
              <w:t>其他支出人均指标，预期目标为小于等于2562.07元，通过查看2025年城乡居民养老保险支出项目执行进度明细表，该指标实际完成2562.07元，指标完成率100%，所设分值为1分，实际得分为1分。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D3054">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54E4F">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2A6DC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E782D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left w:val="single" w:color="000000" w:sz="4" w:space="0"/>
              <w:bottom w:val="single" w:color="000000" w:sz="4" w:space="0"/>
              <w:right w:val="single" w:color="000000" w:sz="4" w:space="0"/>
            </w:tcBorders>
            <w:shd w:val="clear" w:color="auto" w:fill="FFFFFF"/>
            <w:vAlign w:val="center"/>
          </w:tcPr>
          <w:p w14:paraId="61D12D1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B6B3D">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上解上级支出</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B936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1</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2052D">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考察上解上级支出</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C1E38">
            <w:pPr>
              <w:pStyle w:val="32"/>
              <w:keepNext w:val="0"/>
              <w:keepLines w:val="0"/>
              <w:suppressLineNumbers w:val="0"/>
              <w:bidi w:val="0"/>
              <w:spacing w:before="0" w:beforeAutospacing="0" w:after="0" w:afterAutospacing="0"/>
              <w:ind w:left="0" w:leftChars="0" w:right="0" w:rightChars="0" w:firstLine="0" w:firstLineChars="0"/>
              <w:rPr>
                <w:rFonts w:hint="eastAsia" w:ascii="方正仿宋_GBK" w:hAnsi="方正仿宋_GBK" w:eastAsia="方正仿宋_GBK" w:cs="方正仿宋_GBK"/>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33万元</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9B86B">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B6D07">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4BDCE">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上解上级支出指标，预期目标为小于等于33万元，通过查看2025年城乡居民养老保险支出项目执行进度明细表，该指标实际完成33万元，指标完成率100%，所设分值为1分，实际得分为1分。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18E89">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66E19">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57CCB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8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2C05C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效益（20分）</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1232EB">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项目效益（20分）</w:t>
            </w:r>
          </w:p>
        </w:tc>
        <w:tc>
          <w:tcPr>
            <w:tcW w:w="818"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1FF00DB">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保障养老参保人员待遇</w:t>
            </w:r>
          </w:p>
        </w:tc>
        <w:tc>
          <w:tcPr>
            <w:tcW w:w="57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BC15478">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rPr>
            </w:pPr>
            <w:r>
              <w:rPr>
                <w:rFonts w:hint="eastAsia" w:ascii="方正仿宋_GBK" w:hAnsi="方正仿宋_GBK" w:eastAsia="方正仿宋_GBK" w:cs="方正仿宋_GBK"/>
                <w:lang w:val="en-US" w:eastAsia="zh-CN"/>
              </w:rPr>
              <w:t>10</w:t>
            </w:r>
          </w:p>
        </w:tc>
        <w:tc>
          <w:tcPr>
            <w:tcW w:w="98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EAD7E43">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eastAsia="zh-CN"/>
              </w:rPr>
            </w:pPr>
            <w:r>
              <w:rPr>
                <w:rFonts w:hint="eastAsia" w:ascii="方正仿宋_GBK" w:hAnsi="方正仿宋_GBK" w:eastAsia="方正仿宋_GBK" w:cs="方正仿宋_GBK"/>
                <w:lang w:val="en-US" w:eastAsia="zh-CN"/>
              </w:rPr>
              <w:t>考察项目</w:t>
            </w:r>
            <w:r>
              <w:rPr>
                <w:rFonts w:hint="eastAsia" w:ascii="方正仿宋_GBK" w:hAnsi="方正仿宋_GBK" w:eastAsia="方正仿宋_GBK" w:cs="方正仿宋_GBK"/>
              </w:rPr>
              <w:t>保障养老参保人员待遇</w:t>
            </w:r>
            <w:r>
              <w:rPr>
                <w:rFonts w:hint="eastAsia" w:ascii="方正仿宋_GBK" w:hAnsi="方正仿宋_GBK" w:eastAsia="方正仿宋_GBK" w:cs="方正仿宋_GBK"/>
                <w:lang w:eastAsia="zh-CN"/>
              </w:rPr>
              <w:t>是否达到预期目标</w:t>
            </w:r>
          </w:p>
        </w:tc>
        <w:tc>
          <w:tcPr>
            <w:tcW w:w="75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9641D13">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有效</w:t>
            </w:r>
            <w:r>
              <w:rPr>
                <w:rFonts w:hint="eastAsia" w:ascii="方正仿宋_GBK" w:hAnsi="方正仿宋_GBK" w:eastAsia="方正仿宋_GBK" w:cs="方正仿宋_GBK"/>
                <w:lang w:eastAsia="zh-CN"/>
              </w:rPr>
              <w:t>保障</w:t>
            </w:r>
          </w:p>
        </w:tc>
        <w:tc>
          <w:tcPr>
            <w:tcW w:w="219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7698CC2">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通过调查反映项目实施所产生的推动作用，对于</w:t>
            </w:r>
            <w:r>
              <w:rPr>
                <w:rFonts w:hint="eastAsia" w:ascii="方正仿宋_GBK" w:hAnsi="方正仿宋_GBK" w:eastAsia="方正仿宋_GBK" w:cs="方正仿宋_GBK"/>
              </w:rPr>
              <w:t>保障养老参保人员待遇</w:t>
            </w:r>
            <w:r>
              <w:rPr>
                <w:rFonts w:hint="eastAsia" w:ascii="方正仿宋_GBK" w:hAnsi="方正仿宋_GBK" w:eastAsia="方正仿宋_GBK" w:cs="方正仿宋_GBK"/>
                <w:lang w:eastAsia="zh-CN"/>
              </w:rPr>
              <w:t>方面产生的作用，</w:t>
            </w:r>
            <w:r>
              <w:rPr>
                <w:rFonts w:hint="eastAsia" w:ascii="方正仿宋_GBK" w:hAnsi="方正仿宋_GBK" w:eastAsia="方正仿宋_GBK" w:cs="方正仿宋_GBK"/>
              </w:rPr>
              <w:t>保障养老参保人员待遇</w:t>
            </w:r>
            <w:r>
              <w:rPr>
                <w:rFonts w:hint="eastAsia" w:ascii="方正仿宋_GBK" w:hAnsi="方正仿宋_GBK" w:eastAsia="方正仿宋_GBK" w:cs="方正仿宋_GBK"/>
                <w:lang w:val="en-US" w:eastAsia="zh-CN"/>
              </w:rPr>
              <w:t>=（认为有效保障人数/调查人数）*100%。指标完成率0%—59%，完成值为“实现目标程度较低”，指标完成率60%—79%，完成值为“部分实现目标”，指标完成率80%—99%，完成值为“基本达成目标”，指标完成率100%，与预期目标保持一致。</w:t>
            </w:r>
          </w:p>
        </w:tc>
        <w:tc>
          <w:tcPr>
            <w:tcW w:w="318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1AC96F4">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①实际完成值大于等于目标值，且偏离程度小于20%，得满分；②实际完成值大于等于目标值，偏离程度大于等于20%，得0分；③实际完成值小于目标值，得分=实际完成值/目标值*分值；</w:t>
            </w:r>
          </w:p>
        </w:tc>
        <w:tc>
          <w:tcPr>
            <w:tcW w:w="24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F301CF6">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保障养老参保人员待遇指标，预期目标为有效保障，评价组通过对领取养老待遇的人员发放“2025年城乡居民养老保险支出项目满意度调查问卷”，对该项目实施效益进行调查分析，评价组共发放200份满意度调查问卷，分为二档，即“是”“否”；收回问卷200份，按照“2025年城乡居民养老保险支出项目满意度调查问卷”第4题的回复情况，调查对象均表示有效保障了养老待遇，实际完成有效保障，指标完成率100%。所设分值为10分，实际得分为10分。</w:t>
            </w:r>
          </w:p>
        </w:tc>
        <w:tc>
          <w:tcPr>
            <w:tcW w:w="64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87ABDFB">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w:t>
            </w:r>
          </w:p>
        </w:tc>
        <w:tc>
          <w:tcPr>
            <w:tcW w:w="73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0CFA48D">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6020A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trPr>
        <w:tc>
          <w:tcPr>
            <w:tcW w:w="8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F081C9">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D6D9B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A2285">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rPr>
              <w:t>城乡参保人员满意度</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0A2E3">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9C85A">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考察项目受益对象满意情况</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2B68E">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95%</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C4E83">
            <w:pPr>
              <w:pStyle w:val="32"/>
              <w:keepNext w:val="0"/>
              <w:keepLines w:val="0"/>
              <w:suppressLineNumbers w:val="0"/>
              <w:bidi w:val="0"/>
              <w:spacing w:before="0" w:beforeAutospacing="0" w:after="0" w:afterAutospacing="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rPr>
              <w:t>城乡参保人员满意度（%）</w:t>
            </w:r>
            <w:r>
              <w:rPr>
                <w:rFonts w:hint="eastAsia" w:ascii="方正仿宋_GBK" w:hAnsi="方正仿宋_GBK" w:eastAsia="方正仿宋_GBK" w:cs="方正仿宋_GBK"/>
                <w:lang w:val="en-US" w:eastAsia="zh-CN"/>
              </w:rPr>
              <w:t>=（满意人数/调查人数）*100%</w:t>
            </w:r>
          </w:p>
        </w:tc>
        <w:tc>
          <w:tcPr>
            <w:tcW w:w="3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2D7EB">
            <w:pPr>
              <w:pStyle w:val="32"/>
              <w:keepNext w:val="0"/>
              <w:keepLines w:val="0"/>
              <w:suppressLineNumbers w:val="0"/>
              <w:bidi w:val="0"/>
              <w:spacing w:before="0" w:beforeAutospacing="0" w:after="0" w:afterAutospacing="0"/>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根据满意度问卷统计情况计算完成比率①实际完成值大于等于95.00%，得10.00分；②实际完成值小于95.00%且大于等于80.00%，得8.00分；③实际完成值小于80.00%大于等于60.00%，得5.00分。④实际完成值小于60.00%，不得分。</w:t>
            </w:r>
          </w:p>
        </w:tc>
        <w:tc>
          <w:tcPr>
            <w:tcW w:w="24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4D5E5">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城乡参保人员满意度指标，预期目标是大于等于95%，评价组通过对领取养老待遇的人员发放“2025年城乡居民养老保险支出项目满意度调查问卷”，对该项目满意度进行调查分析，评价组共发放200份满意度调查问卷，分为二档，即“是”“否”，收回问卷200份，按照“2025年城乡居民养老保险支出项目满意度调查问卷”第5题的回复情况计算公式得知，调查对象满意度为95%，即=（190×1.0+10×0）/200×100%，等于95%，指标完成率100%。所设分值为10分，实际得分为10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5ABF5">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6169C">
            <w:pPr>
              <w:pStyle w:val="32"/>
              <w:keepNext w:val="0"/>
              <w:keepLines w:val="0"/>
              <w:suppressLineNumbers w:val="0"/>
              <w:bidi w:val="0"/>
              <w:spacing w:before="0" w:beforeAutospacing="0" w:after="0" w:afterAutospacing="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100%</w:t>
            </w:r>
          </w:p>
        </w:tc>
      </w:tr>
      <w:tr w14:paraId="2A32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25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C77040">
            <w:pPr>
              <w:pStyle w:val="32"/>
              <w:keepNext w:val="0"/>
              <w:keepLines w:val="0"/>
              <w:suppressLineNumbers w:val="0"/>
              <w:bidi w:val="0"/>
              <w:spacing w:before="0" w:beforeAutospacing="0" w:after="0" w:afterAutospacing="0"/>
              <w:jc w:val="center"/>
              <w:rPr>
                <w:rFonts w:hint="eastAsia" w:ascii="方正仿宋_GBK" w:hAnsi="方正仿宋_GBK" w:eastAsia="方正仿宋_GBK" w:cs="方正仿宋_GBK"/>
                <w:b/>
                <w:bCs/>
                <w:sz w:val="21"/>
                <w:szCs w:val="21"/>
                <w:lang w:val="en-US" w:eastAsia="zh-CN"/>
              </w:rPr>
            </w:pPr>
            <w:r>
              <w:rPr>
                <w:rFonts w:hint="eastAsia" w:ascii="方正仿宋_GBK" w:hAnsi="方正仿宋_GBK" w:eastAsia="方正仿宋_GBK" w:cs="方正仿宋_GBK"/>
                <w:sz w:val="21"/>
                <w:szCs w:val="21"/>
                <w:lang w:val="en-US" w:eastAsia="zh-CN"/>
              </w:rPr>
              <w:t>总分</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C6E4F">
            <w:pPr>
              <w:pStyle w:val="32"/>
              <w:keepNext w:val="0"/>
              <w:keepLines w:val="0"/>
              <w:suppressLineNumbers w:val="0"/>
              <w:bidi w:val="0"/>
              <w:spacing w:before="0" w:beforeAutospacing="0" w:after="0" w:afterAutospacing="0"/>
              <w:jc w:val="center"/>
              <w:rPr>
                <w:rFonts w:hint="eastAsia" w:ascii="方正仿宋_GBK" w:hAnsi="方正仿宋_GBK" w:eastAsia="方正仿宋_GBK" w:cs="方正仿宋_GBK"/>
                <w:b/>
                <w:bCs/>
                <w:sz w:val="21"/>
                <w:szCs w:val="21"/>
                <w:lang w:val="en-US" w:eastAsia="zh-CN"/>
              </w:rPr>
            </w:pPr>
            <w:r>
              <w:rPr>
                <w:rFonts w:hint="eastAsia" w:ascii="方正仿宋_GBK" w:hAnsi="方正仿宋_GBK" w:eastAsia="方正仿宋_GBK" w:cs="方正仿宋_GBK"/>
                <w:b w:val="0"/>
                <w:bCs w:val="0"/>
                <w:sz w:val="21"/>
                <w:szCs w:val="21"/>
                <w:lang w:val="en-US" w:eastAsia="zh-CN"/>
              </w:rPr>
              <w:t>100</w:t>
            </w:r>
          </w:p>
        </w:tc>
        <w:tc>
          <w:tcPr>
            <w:tcW w:w="953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F854A91">
            <w:pPr>
              <w:pStyle w:val="32"/>
              <w:keepNext w:val="0"/>
              <w:keepLines w:val="0"/>
              <w:suppressLineNumbers w:val="0"/>
              <w:bidi w:val="0"/>
              <w:spacing w:before="0" w:beforeAutospacing="0" w:after="0" w:afterAutospacing="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实际得分</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5CEC3">
            <w:pPr>
              <w:pStyle w:val="32"/>
              <w:keepNext w:val="0"/>
              <w:keepLines w:val="0"/>
              <w:suppressLineNumbers w:val="0"/>
              <w:bidi w:val="0"/>
              <w:spacing w:before="0" w:beforeAutospacing="0" w:after="0" w:afterAutospacing="0"/>
              <w:ind w:left="0" w:leftChars="0" w:right="0" w:rightChars="0" w:firstLine="0" w:firstLineChars="0"/>
              <w:jc w:val="center"/>
              <w:rPr>
                <w:rFonts w:hint="eastAsia" w:ascii="方正仿宋_GBK" w:hAnsi="方正仿宋_GBK" w:eastAsia="方正仿宋_GBK" w:cs="方正仿宋_GBK"/>
                <w:color w:val="000000"/>
                <w:kern w:val="2"/>
                <w:sz w:val="21"/>
                <w:szCs w:val="21"/>
                <w:lang w:val="en-US" w:eastAsia="zh-CN" w:bidi="ar-SA"/>
              </w:rPr>
            </w:pPr>
            <w:r>
              <w:rPr>
                <w:rFonts w:hint="eastAsia" w:ascii="方正仿宋_GBK" w:hAnsi="方正仿宋_GBK" w:eastAsia="方正仿宋_GBK" w:cs="方正仿宋_GBK"/>
                <w:sz w:val="21"/>
                <w:szCs w:val="21"/>
                <w:lang w:val="en-US" w:eastAsia="zh-CN"/>
              </w:rPr>
              <w:t>99</w:t>
            </w:r>
          </w:p>
        </w:tc>
        <w:tc>
          <w:tcPr>
            <w:tcW w:w="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12B63">
            <w:pPr>
              <w:pStyle w:val="32"/>
              <w:keepNext w:val="0"/>
              <w:keepLines w:val="0"/>
              <w:suppressLineNumbers w:val="0"/>
              <w:bidi w:val="0"/>
              <w:spacing w:before="0" w:beforeAutospacing="0" w:after="0" w:afterAutospacing="0"/>
              <w:ind w:left="0" w:leftChars="0" w:right="0" w:rightChars="0" w:firstLine="0" w:firstLineChars="0"/>
              <w:jc w:val="center"/>
              <w:rPr>
                <w:rFonts w:hint="eastAsia" w:ascii="方正仿宋_GBK" w:hAnsi="方正仿宋_GBK" w:eastAsia="方正仿宋_GBK" w:cs="方正仿宋_GBK"/>
                <w:color w:val="000000"/>
                <w:kern w:val="2"/>
                <w:sz w:val="21"/>
                <w:szCs w:val="21"/>
                <w:lang w:val="en-US" w:eastAsia="zh-CN" w:bidi="ar-SA"/>
              </w:rPr>
            </w:pPr>
            <w:r>
              <w:rPr>
                <w:rFonts w:hint="eastAsia" w:ascii="方正仿宋_GBK" w:hAnsi="方正仿宋_GBK" w:eastAsia="方正仿宋_GBK" w:cs="方正仿宋_GBK"/>
                <w:sz w:val="21"/>
                <w:szCs w:val="21"/>
                <w:lang w:val="en-US" w:eastAsia="zh-CN"/>
              </w:rPr>
              <w:t>99%</w:t>
            </w:r>
          </w:p>
        </w:tc>
      </w:tr>
    </w:tbl>
    <w:p w14:paraId="3ABB23B0">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textAlignment w:val="auto"/>
        <w:rPr>
          <w:rFonts w:hint="eastAsia" w:ascii="方正仿宋_GBK" w:hAnsi="方正仿宋_GBK" w:eastAsia="方正仿宋_GBK" w:cs="方正仿宋_GBK"/>
          <w:b/>
          <w:bCs/>
          <w:color w:val="000000" w:themeColor="text1"/>
          <w:kern w:val="0"/>
          <w:sz w:val="32"/>
          <w:szCs w:val="32"/>
          <w:lang w:val="en-US" w:eastAsia="zh-CN" w:bidi="en-US"/>
          <w14:textFill>
            <w14:solidFill>
              <w14:schemeClr w14:val="tx1"/>
            </w14:solidFill>
          </w14:textFill>
        </w:rPr>
      </w:pPr>
    </w:p>
    <w:p w14:paraId="2CF6CF96">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textAlignment w:val="auto"/>
        <w:rPr>
          <w:rFonts w:hint="default" w:ascii="方正仿宋_GBK" w:hAnsi="方正仿宋_GBK" w:eastAsia="方正仿宋_GBK" w:cs="方正仿宋_GBK"/>
          <w:b/>
          <w:bCs/>
          <w:color w:val="000000" w:themeColor="text1"/>
          <w:kern w:val="0"/>
          <w:sz w:val="32"/>
          <w:szCs w:val="32"/>
          <w:lang w:val="en-US" w:eastAsia="zh-CN" w:bidi="en-US"/>
          <w14:textFill>
            <w14:solidFill>
              <w14:schemeClr w14:val="tx1"/>
            </w14:solidFill>
          </w14:textFill>
        </w:rPr>
        <w:sectPr>
          <w:footerReference r:id="rId7" w:type="default"/>
          <w:pgSz w:w="16838" w:h="11906" w:orient="landscape"/>
          <w:pgMar w:top="1800" w:right="1440" w:bottom="1800" w:left="1440" w:header="851" w:footer="992" w:gutter="0"/>
          <w:pgNumType w:fmt="numberInDash"/>
          <w:cols w:space="425" w:num="1"/>
          <w:docGrid w:type="lines" w:linePitch="312" w:charSpace="0"/>
        </w:sectPr>
      </w:pPr>
    </w:p>
    <w:p w14:paraId="1B944104">
      <w:pPr>
        <w:pStyle w:val="7"/>
        <w:bidi w:val="0"/>
        <w:ind w:left="0" w:leftChars="0" w:firstLine="0" w:firstLineChars="0"/>
        <w:outlineLvl w:val="0"/>
        <w:rPr>
          <w:rFonts w:hint="eastAsia"/>
          <w:lang w:val="en-US" w:eastAsia="zh-CN"/>
        </w:rPr>
      </w:pPr>
      <w:bookmarkStart w:id="520" w:name="_Toc200"/>
      <w:bookmarkStart w:id="521" w:name="_Toc24338"/>
      <w:bookmarkStart w:id="522" w:name="_Toc29456"/>
      <w:bookmarkStart w:id="523" w:name="_Toc1812"/>
      <w:bookmarkStart w:id="524" w:name="_Toc2818"/>
      <w:bookmarkStart w:id="525" w:name="_Toc4326"/>
      <w:bookmarkStart w:id="526" w:name="_Toc24021"/>
      <w:bookmarkStart w:id="527" w:name="_Toc17473"/>
      <w:r>
        <w:rPr>
          <w:rFonts w:hint="eastAsia"/>
          <w:lang w:val="en-US" w:eastAsia="zh-CN"/>
        </w:rPr>
        <w:t>附件2：2025年城乡居民养老保险支出项目基础信息采集表</w:t>
      </w:r>
      <w:bookmarkEnd w:id="520"/>
    </w:p>
    <w:p w14:paraId="0323526D">
      <w:pPr>
        <w:rPr>
          <w:rFonts w:hint="eastAsia"/>
          <w:lang w:val="en-US" w:eastAsia="zh-CN"/>
        </w:rPr>
      </w:pPr>
      <w:r>
        <w:rPr>
          <w:rFonts w:hint="eastAsia"/>
          <w:lang w:val="en-US" w:eastAsia="zh-CN"/>
        </w:rPr>
        <w:drawing>
          <wp:anchor distT="0" distB="0" distL="114300" distR="114300" simplePos="0" relativeHeight="251664384" behindDoc="0" locked="0" layoutInCell="1" allowOverlap="1">
            <wp:simplePos x="0" y="0"/>
            <wp:positionH relativeFrom="column">
              <wp:posOffset>-9525</wp:posOffset>
            </wp:positionH>
            <wp:positionV relativeFrom="paragraph">
              <wp:posOffset>37465</wp:posOffset>
            </wp:positionV>
            <wp:extent cx="5267960" cy="7223760"/>
            <wp:effectExtent l="0" t="0" r="8890" b="15240"/>
            <wp:wrapNone/>
            <wp:docPr id="1" name="图片 1" descr="2社保中心基础信息采集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社保中心基础信息采集表1"/>
                    <pic:cNvPicPr>
                      <a:picLocks noChangeAspect="1"/>
                    </pic:cNvPicPr>
                  </pic:nvPicPr>
                  <pic:blipFill>
                    <a:blip r:embed="rId15"/>
                    <a:stretch>
                      <a:fillRect/>
                    </a:stretch>
                  </pic:blipFill>
                  <pic:spPr>
                    <a:xfrm>
                      <a:off x="0" y="0"/>
                      <a:ext cx="5267960" cy="7223760"/>
                    </a:xfrm>
                    <a:prstGeom prst="rect">
                      <a:avLst/>
                    </a:prstGeom>
                  </pic:spPr>
                </pic:pic>
              </a:graphicData>
            </a:graphic>
          </wp:anchor>
        </w:drawing>
      </w:r>
      <w:r>
        <w:rPr>
          <w:rFonts w:hint="eastAsia"/>
          <w:lang w:val="en-US" w:eastAsia="zh-CN"/>
        </w:rPr>
        <w:br w:type="page"/>
      </w:r>
    </w:p>
    <w:p w14:paraId="63CBD3AF">
      <w:pPr>
        <w:rPr>
          <w:rFonts w:hint="eastAsia"/>
          <w:lang w:val="en-US" w:eastAsia="zh-CN"/>
        </w:rPr>
      </w:pPr>
      <w:r>
        <w:rPr>
          <w:rFonts w:hint="eastAsia"/>
          <w:lang w:val="en-US" w:eastAsia="zh-CN"/>
        </w:rPr>
        <w:drawing>
          <wp:anchor distT="0" distB="0" distL="114300" distR="114300" simplePos="0" relativeHeight="251665408" behindDoc="0" locked="0" layoutInCell="1" allowOverlap="1">
            <wp:simplePos x="0" y="0"/>
            <wp:positionH relativeFrom="column">
              <wp:posOffset>-8255</wp:posOffset>
            </wp:positionH>
            <wp:positionV relativeFrom="paragraph">
              <wp:posOffset>98425</wp:posOffset>
            </wp:positionV>
            <wp:extent cx="5267960" cy="7223760"/>
            <wp:effectExtent l="0" t="0" r="8890" b="15240"/>
            <wp:wrapNone/>
            <wp:docPr id="2" name="图片 2" descr="2社保中心基础信息采集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社保中心基础信息采集表2"/>
                    <pic:cNvPicPr>
                      <a:picLocks noChangeAspect="1"/>
                    </pic:cNvPicPr>
                  </pic:nvPicPr>
                  <pic:blipFill>
                    <a:blip r:embed="rId16"/>
                    <a:stretch>
                      <a:fillRect/>
                    </a:stretch>
                  </pic:blipFill>
                  <pic:spPr>
                    <a:xfrm>
                      <a:off x="0" y="0"/>
                      <a:ext cx="5267960" cy="7223760"/>
                    </a:xfrm>
                    <a:prstGeom prst="rect">
                      <a:avLst/>
                    </a:prstGeom>
                  </pic:spPr>
                </pic:pic>
              </a:graphicData>
            </a:graphic>
          </wp:anchor>
        </w:drawing>
      </w:r>
      <w:r>
        <w:rPr>
          <w:rFonts w:hint="eastAsia"/>
          <w:lang w:val="en-US" w:eastAsia="zh-CN"/>
        </w:rPr>
        <w:br w:type="page"/>
      </w:r>
    </w:p>
    <w:p w14:paraId="73C828B1">
      <w:pPr>
        <w:pStyle w:val="7"/>
        <w:bidi w:val="0"/>
        <w:ind w:left="0" w:leftChars="0" w:firstLine="0" w:firstLineChars="0"/>
        <w:outlineLvl w:val="0"/>
        <w:rPr>
          <w:rFonts w:hint="eastAsia"/>
          <w:lang w:val="en-US" w:eastAsia="zh-CN"/>
        </w:rPr>
      </w:pPr>
      <w:bookmarkStart w:id="528" w:name="_Toc5122"/>
      <w:r>
        <w:rPr>
          <w:rFonts w:hint="eastAsia"/>
          <w:lang w:val="zh-CN" w:eastAsia="zh-CN"/>
        </w:rPr>
        <w:t>附件</w:t>
      </w:r>
      <w:r>
        <w:rPr>
          <w:rFonts w:hint="eastAsia"/>
          <w:lang w:val="en-US" w:eastAsia="zh-CN"/>
        </w:rPr>
        <w:t>3：访谈记录</w:t>
      </w:r>
      <w:bookmarkEnd w:id="528"/>
    </w:p>
    <w:p w14:paraId="7E32AB75">
      <w:pPr>
        <w:rPr>
          <w:rFonts w:hint="eastAsia"/>
          <w:lang w:val="en-US" w:eastAsia="zh-CN"/>
        </w:rPr>
      </w:pPr>
      <w:r>
        <w:rPr>
          <w:rFonts w:hint="eastAsia"/>
          <w:lang w:val="en-US" w:eastAsia="zh-CN"/>
        </w:rPr>
        <w:drawing>
          <wp:anchor distT="0" distB="0" distL="114300" distR="114300" simplePos="0" relativeHeight="251666432" behindDoc="0" locked="0" layoutInCell="1" allowOverlap="1">
            <wp:simplePos x="0" y="0"/>
            <wp:positionH relativeFrom="column">
              <wp:posOffset>-9525</wp:posOffset>
            </wp:positionH>
            <wp:positionV relativeFrom="paragraph">
              <wp:posOffset>4445</wp:posOffset>
            </wp:positionV>
            <wp:extent cx="5273675" cy="7237095"/>
            <wp:effectExtent l="0" t="0" r="3175" b="1905"/>
            <wp:wrapNone/>
            <wp:docPr id="4" name="图片 4" descr="3社保中心谈话记录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社保中心谈话记录1"/>
                    <pic:cNvPicPr>
                      <a:picLocks noChangeAspect="1"/>
                    </pic:cNvPicPr>
                  </pic:nvPicPr>
                  <pic:blipFill>
                    <a:blip r:embed="rId17"/>
                    <a:stretch>
                      <a:fillRect/>
                    </a:stretch>
                  </pic:blipFill>
                  <pic:spPr>
                    <a:xfrm>
                      <a:off x="0" y="0"/>
                      <a:ext cx="5273675" cy="7237095"/>
                    </a:xfrm>
                    <a:prstGeom prst="rect">
                      <a:avLst/>
                    </a:prstGeom>
                  </pic:spPr>
                </pic:pic>
              </a:graphicData>
            </a:graphic>
          </wp:anchor>
        </w:drawing>
      </w:r>
      <w:r>
        <w:rPr>
          <w:rFonts w:hint="eastAsia"/>
          <w:lang w:val="en-US" w:eastAsia="zh-CN"/>
        </w:rPr>
        <w:br w:type="page"/>
      </w:r>
    </w:p>
    <w:p w14:paraId="1F32CD24">
      <w:pPr>
        <w:rPr>
          <w:rFonts w:hint="eastAsia"/>
          <w:lang w:val="en-US" w:eastAsia="zh-CN"/>
        </w:rPr>
      </w:pPr>
      <w:r>
        <w:rPr>
          <w:rFonts w:hint="eastAsia"/>
          <w:lang w:val="en-US" w:eastAsia="zh-CN"/>
        </w:rPr>
        <w:drawing>
          <wp:anchor distT="0" distB="0" distL="114300" distR="114300" simplePos="0" relativeHeight="251667456" behindDoc="0" locked="0" layoutInCell="1" allowOverlap="1">
            <wp:simplePos x="0" y="0"/>
            <wp:positionH relativeFrom="column">
              <wp:posOffset>-8890</wp:posOffset>
            </wp:positionH>
            <wp:positionV relativeFrom="paragraph">
              <wp:posOffset>220345</wp:posOffset>
            </wp:positionV>
            <wp:extent cx="5271135" cy="7227570"/>
            <wp:effectExtent l="0" t="0" r="5715" b="11430"/>
            <wp:wrapNone/>
            <wp:docPr id="5" name="图片 5" descr="3社保中心谈话记录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社保中心谈话记录1-2"/>
                    <pic:cNvPicPr>
                      <a:picLocks noChangeAspect="1"/>
                    </pic:cNvPicPr>
                  </pic:nvPicPr>
                  <pic:blipFill>
                    <a:blip r:embed="rId18"/>
                    <a:stretch>
                      <a:fillRect/>
                    </a:stretch>
                  </pic:blipFill>
                  <pic:spPr>
                    <a:xfrm>
                      <a:off x="0" y="0"/>
                      <a:ext cx="5271135" cy="7227570"/>
                    </a:xfrm>
                    <a:prstGeom prst="rect">
                      <a:avLst/>
                    </a:prstGeom>
                  </pic:spPr>
                </pic:pic>
              </a:graphicData>
            </a:graphic>
          </wp:anchor>
        </w:drawing>
      </w:r>
      <w:r>
        <w:rPr>
          <w:rFonts w:hint="eastAsia"/>
          <w:lang w:val="en-US" w:eastAsia="zh-CN"/>
        </w:rPr>
        <w:br w:type="page"/>
      </w:r>
    </w:p>
    <w:p w14:paraId="2C49E1E1">
      <w:pPr>
        <w:pStyle w:val="7"/>
        <w:bidi w:val="0"/>
        <w:ind w:left="0" w:leftChars="0" w:firstLine="0" w:firstLineChars="0"/>
        <w:outlineLvl w:val="0"/>
        <w:rPr>
          <w:rFonts w:hint="eastAsia"/>
          <w:lang w:val="en-US" w:eastAsia="zh-CN"/>
        </w:rPr>
      </w:pPr>
      <w:bookmarkStart w:id="529" w:name="_Toc3940"/>
      <w:r>
        <w:rPr>
          <w:rFonts w:hint="eastAsia"/>
          <w:lang w:val="en-US" w:eastAsia="zh-CN"/>
        </w:rPr>
        <w:t>附件4：财政局绩效评价报告确认单</w:t>
      </w:r>
      <w:bookmarkEnd w:id="529"/>
    </w:p>
    <w:p w14:paraId="473230ED">
      <w:pPr>
        <w:rPr>
          <w:rFonts w:hint="eastAsia"/>
          <w:lang w:val="en-US" w:eastAsia="zh-CN"/>
        </w:rPr>
      </w:pPr>
      <w:r>
        <w:rPr>
          <w:rFonts w:hint="eastAsia"/>
          <w:lang w:val="en-US" w:eastAsia="zh-CN"/>
        </w:rPr>
        <w:drawing>
          <wp:anchor distT="0" distB="0" distL="114300" distR="114300" simplePos="0" relativeHeight="251672576" behindDoc="0" locked="0" layoutInCell="1" allowOverlap="1">
            <wp:simplePos x="0" y="0"/>
            <wp:positionH relativeFrom="column">
              <wp:posOffset>-55245</wp:posOffset>
            </wp:positionH>
            <wp:positionV relativeFrom="paragraph">
              <wp:posOffset>248920</wp:posOffset>
            </wp:positionV>
            <wp:extent cx="5269865" cy="7215505"/>
            <wp:effectExtent l="0" t="0" r="3175" b="8255"/>
            <wp:wrapNone/>
            <wp:docPr id="20" name="图片 20" descr="2025年城乡居民养老保险支出项目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25年城乡居民养老保险支出项目_02"/>
                    <pic:cNvPicPr>
                      <a:picLocks noChangeAspect="1"/>
                    </pic:cNvPicPr>
                  </pic:nvPicPr>
                  <pic:blipFill>
                    <a:blip r:embed="rId19"/>
                    <a:stretch>
                      <a:fillRect/>
                    </a:stretch>
                  </pic:blipFill>
                  <pic:spPr>
                    <a:xfrm>
                      <a:off x="0" y="0"/>
                      <a:ext cx="5269865" cy="7215505"/>
                    </a:xfrm>
                    <a:prstGeom prst="rect">
                      <a:avLst/>
                    </a:prstGeom>
                  </pic:spPr>
                </pic:pic>
              </a:graphicData>
            </a:graphic>
          </wp:anchor>
        </w:drawing>
      </w:r>
      <w:r>
        <w:rPr>
          <w:rFonts w:hint="eastAsia"/>
          <w:lang w:val="en-US" w:eastAsia="zh-CN"/>
        </w:rPr>
        <w:br w:type="page"/>
      </w:r>
    </w:p>
    <w:p w14:paraId="05900E23">
      <w:pPr>
        <w:pStyle w:val="7"/>
        <w:bidi w:val="0"/>
        <w:ind w:left="0" w:leftChars="0" w:firstLine="0" w:firstLineChars="0"/>
        <w:outlineLvl w:val="0"/>
        <w:rPr>
          <w:rFonts w:hint="eastAsia"/>
          <w:lang w:val="en-US" w:eastAsia="zh-CN"/>
        </w:rPr>
      </w:pPr>
      <w:bookmarkStart w:id="530" w:name="_Toc27260"/>
      <w:r>
        <w:rPr>
          <w:rFonts w:hint="eastAsia"/>
          <w:lang w:val="en-US" w:eastAsia="zh-CN"/>
        </w:rPr>
        <w:t>附件5：预算单位</w:t>
      </w:r>
      <w:bookmarkStart w:id="570" w:name="_GoBack"/>
      <w:bookmarkEnd w:id="570"/>
      <w:r>
        <w:rPr>
          <w:rFonts w:hint="eastAsia"/>
          <w:lang w:val="en-US" w:eastAsia="zh-CN"/>
        </w:rPr>
        <w:t>绩效评价报告确认单</w:t>
      </w:r>
      <w:bookmarkEnd w:id="530"/>
    </w:p>
    <w:p w14:paraId="521D72BD">
      <w:pPr>
        <w:spacing w:line="240" w:lineRule="auto"/>
        <w:rPr>
          <w:rFonts w:hint="default"/>
          <w:lang w:val="en-US" w:eastAsia="zh-CN"/>
        </w:rPr>
      </w:pPr>
      <w:r>
        <w:rPr>
          <w:rFonts w:hint="default"/>
          <w:lang w:val="en-US" w:eastAsia="zh-CN"/>
        </w:rPr>
        <w:drawing>
          <wp:inline distT="0" distB="0" distL="114300" distR="114300">
            <wp:extent cx="5269865" cy="7213600"/>
            <wp:effectExtent l="0" t="0" r="3175" b="10160"/>
            <wp:docPr id="21" name="图片 21" descr="2025年城乡居民养老保险支出项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025年城乡居民养老保险支出项目_01"/>
                    <pic:cNvPicPr>
                      <a:picLocks noChangeAspect="1"/>
                    </pic:cNvPicPr>
                  </pic:nvPicPr>
                  <pic:blipFill>
                    <a:blip r:embed="rId20"/>
                    <a:stretch>
                      <a:fillRect/>
                    </a:stretch>
                  </pic:blipFill>
                  <pic:spPr>
                    <a:xfrm>
                      <a:off x="0" y="0"/>
                      <a:ext cx="5269865" cy="7213600"/>
                    </a:xfrm>
                    <a:prstGeom prst="rect">
                      <a:avLst/>
                    </a:prstGeom>
                  </pic:spPr>
                </pic:pic>
              </a:graphicData>
            </a:graphic>
          </wp:inline>
        </w:drawing>
      </w:r>
    </w:p>
    <w:p w14:paraId="231A18E3">
      <w:pPr>
        <w:rPr>
          <w:rFonts w:hint="eastAsia"/>
          <w:lang w:eastAsia="zh-CN"/>
        </w:rPr>
      </w:pPr>
      <w:r>
        <w:rPr>
          <w:rFonts w:hint="eastAsia"/>
          <w:lang w:eastAsia="zh-CN"/>
        </w:rPr>
        <w:br w:type="page"/>
      </w:r>
    </w:p>
    <w:p w14:paraId="3134443D">
      <w:pPr>
        <w:pStyle w:val="7"/>
        <w:bidi w:val="0"/>
        <w:ind w:left="0" w:leftChars="0" w:firstLine="0" w:firstLineChars="0"/>
        <w:outlineLvl w:val="0"/>
        <w:rPr>
          <w:rFonts w:hint="eastAsia"/>
          <w:lang w:val="en-US" w:eastAsia="zh-CN"/>
        </w:rPr>
      </w:pPr>
      <w:bookmarkStart w:id="531" w:name="_Toc27689"/>
      <w:r>
        <w:rPr>
          <w:rFonts w:hint="eastAsia"/>
          <w:lang w:eastAsia="zh-CN"/>
        </w:rPr>
        <w:t>附件</w:t>
      </w:r>
      <w:r>
        <w:rPr>
          <w:rFonts w:hint="eastAsia"/>
          <w:lang w:val="en-US" w:eastAsia="zh-CN"/>
        </w:rPr>
        <w:t>6：满意度调查问卷分析报告</w:t>
      </w:r>
      <w:bookmarkEnd w:id="521"/>
      <w:bookmarkEnd w:id="531"/>
    </w:p>
    <w:p w14:paraId="66EE979A">
      <w:pPr>
        <w:rPr>
          <w:rFonts w:hint="eastAsia"/>
          <w:lang w:val="en-US" w:eastAsia="zh-CN"/>
        </w:rPr>
      </w:pPr>
    </w:p>
    <w:p w14:paraId="128BDE16">
      <w:pPr>
        <w:pStyle w:val="8"/>
        <w:bidi w:val="0"/>
        <w:jc w:val="center"/>
        <w:rPr>
          <w:rFonts w:hint="eastAsia"/>
        </w:rPr>
      </w:pPr>
      <w:bookmarkStart w:id="532" w:name="_Toc23118"/>
      <w:bookmarkStart w:id="533" w:name="_Toc23809"/>
      <w:r>
        <w:rPr>
          <w:rFonts w:hint="eastAsia"/>
          <w:lang w:eastAsia="zh-CN"/>
        </w:rPr>
        <w:t>2025年城乡居民养老保险支出项目</w:t>
      </w:r>
      <w:r>
        <w:rPr>
          <w:rFonts w:hint="eastAsia"/>
        </w:rPr>
        <w:t>满意度调查问卷分析报告</w:t>
      </w:r>
      <w:bookmarkEnd w:id="522"/>
      <w:bookmarkEnd w:id="523"/>
      <w:bookmarkEnd w:id="524"/>
      <w:bookmarkEnd w:id="525"/>
      <w:bookmarkEnd w:id="526"/>
      <w:bookmarkEnd w:id="527"/>
      <w:bookmarkEnd w:id="532"/>
      <w:bookmarkEnd w:id="533"/>
    </w:p>
    <w:p w14:paraId="1D464A6F">
      <w:pPr>
        <w:bidi w:val="0"/>
        <w:rPr>
          <w:rFonts w:hint="eastAsia"/>
          <w:lang w:val="en-US" w:eastAsia="zh-CN"/>
        </w:rPr>
      </w:pPr>
      <w:bookmarkStart w:id="534" w:name="_Toc31514"/>
      <w:bookmarkStart w:id="535" w:name="_Toc22807"/>
      <w:bookmarkStart w:id="536" w:name="_Toc27569"/>
      <w:bookmarkStart w:id="537" w:name="_Toc26120"/>
      <w:bookmarkStart w:id="538" w:name="_Toc15677"/>
      <w:bookmarkStart w:id="539" w:name="_Toc29064"/>
      <w:r>
        <w:rPr>
          <w:rFonts w:hint="eastAsia"/>
          <w:lang w:val="en-US" w:eastAsia="zh-CN"/>
        </w:rPr>
        <w:t>绩效评价组结合现场调研情况以及项目工作开展情况，明确项目影响到的受益群体，通过调查问卷形式了解项目服务对象对莎车县社会保险中心2025年城乡居民养老保险支出项目工作开展情况的满意程度，以及补助发放情况与现实需求的匹配程度。评价组为客观了解城乡参保人员对项目工作的评价情况，展开满意度问卷调查。</w:t>
      </w:r>
    </w:p>
    <w:p w14:paraId="6C6BCAA2">
      <w:pPr>
        <w:pStyle w:val="26"/>
        <w:bidi w:val="0"/>
        <w:rPr>
          <w:rFonts w:hint="eastAsia"/>
        </w:rPr>
      </w:pPr>
      <w:r>
        <w:rPr>
          <w:rFonts w:hint="eastAsia"/>
        </w:rPr>
        <w:t>一、问卷调查群体</w:t>
      </w:r>
      <w:bookmarkEnd w:id="534"/>
      <w:bookmarkEnd w:id="535"/>
      <w:bookmarkEnd w:id="536"/>
      <w:bookmarkEnd w:id="537"/>
      <w:bookmarkEnd w:id="538"/>
      <w:bookmarkEnd w:id="539"/>
    </w:p>
    <w:p w14:paraId="299431D2">
      <w:pPr>
        <w:bidi w:val="0"/>
        <w:rPr>
          <w:rFonts w:hint="eastAsia"/>
        </w:rPr>
      </w:pPr>
      <w:r>
        <w:rPr>
          <w:rFonts w:hint="eastAsia"/>
          <w:lang w:eastAsia="zh-CN"/>
        </w:rPr>
        <w:t>结合</w:t>
      </w:r>
      <w:r>
        <w:rPr>
          <w:rFonts w:hint="eastAsia"/>
          <w:lang w:val="en-US" w:eastAsia="zh-CN"/>
        </w:rPr>
        <w:t>莎车县社会保险中心2025年城乡居民养老保险支出项目工作实施情况，</w:t>
      </w:r>
      <w:r>
        <w:rPr>
          <w:rFonts w:hint="eastAsia"/>
        </w:rPr>
        <w:t>本次满意度调查问卷</w:t>
      </w:r>
      <w:r>
        <w:rPr>
          <w:rFonts w:hint="eastAsia"/>
          <w:lang w:eastAsia="zh-CN"/>
        </w:rPr>
        <w:t>旨在考察</w:t>
      </w:r>
      <w:r>
        <w:rPr>
          <w:rFonts w:hint="eastAsia"/>
          <w:lang w:val="en-US" w:eastAsia="zh-CN"/>
        </w:rPr>
        <w:t>城乡参保人员</w:t>
      </w:r>
      <w:r>
        <w:rPr>
          <w:rFonts w:hint="eastAsia"/>
          <w:lang w:eastAsia="zh-CN"/>
        </w:rPr>
        <w:t>对项目实施过程中补助发放等方面满意度情况。因此，本次满意度</w:t>
      </w:r>
      <w:r>
        <w:rPr>
          <w:rFonts w:hint="eastAsia"/>
        </w:rPr>
        <w:t>调查对象</w:t>
      </w:r>
      <w:r>
        <w:rPr>
          <w:rFonts w:hint="eastAsia"/>
          <w:lang w:eastAsia="zh-CN"/>
        </w:rPr>
        <w:t>为</w:t>
      </w:r>
      <w:r>
        <w:rPr>
          <w:rFonts w:hint="eastAsia"/>
          <w:lang w:val="en-US" w:eastAsia="zh-CN"/>
        </w:rPr>
        <w:t>城乡参保人员</w:t>
      </w:r>
      <w:r>
        <w:rPr>
          <w:rFonts w:hint="eastAsia"/>
        </w:rPr>
        <w:t>。</w:t>
      </w:r>
    </w:p>
    <w:p w14:paraId="7F07A503">
      <w:pPr>
        <w:pStyle w:val="26"/>
        <w:bidi w:val="0"/>
        <w:rPr>
          <w:rFonts w:hint="eastAsia"/>
          <w:lang w:eastAsia="zh-CN"/>
        </w:rPr>
      </w:pPr>
      <w:bookmarkStart w:id="540" w:name="_Toc18091"/>
      <w:bookmarkStart w:id="541" w:name="_Toc10449"/>
      <w:bookmarkStart w:id="542" w:name="_Toc2591"/>
      <w:bookmarkStart w:id="543" w:name="_Toc32739"/>
      <w:bookmarkStart w:id="544" w:name="_Toc17487"/>
      <w:bookmarkStart w:id="545" w:name="_Toc20373"/>
      <w:r>
        <w:rPr>
          <w:rFonts w:hint="eastAsia"/>
        </w:rPr>
        <w:t>二、问卷调查</w:t>
      </w:r>
      <w:bookmarkEnd w:id="540"/>
      <w:bookmarkEnd w:id="541"/>
      <w:bookmarkEnd w:id="542"/>
      <w:bookmarkEnd w:id="543"/>
      <w:bookmarkEnd w:id="544"/>
      <w:bookmarkEnd w:id="545"/>
      <w:r>
        <w:rPr>
          <w:rFonts w:hint="eastAsia"/>
          <w:lang w:eastAsia="zh-CN"/>
        </w:rPr>
        <w:t>内容</w:t>
      </w:r>
    </w:p>
    <w:p w14:paraId="3782DB78">
      <w:pPr>
        <w:bidi w:val="0"/>
        <w:rPr>
          <w:rFonts w:hint="eastAsia"/>
          <w:lang w:val="en-US" w:eastAsia="zh-CN"/>
        </w:rPr>
      </w:pPr>
      <w:r>
        <w:rPr>
          <w:rFonts w:hint="eastAsia"/>
          <w:lang w:eastAsia="zh-CN"/>
        </w:rPr>
        <w:t>调查内容为</w:t>
      </w:r>
      <w:r>
        <w:rPr>
          <w:rFonts w:hint="eastAsia"/>
          <w:lang w:val="en-US" w:eastAsia="zh-CN"/>
        </w:rPr>
        <w:t>城乡参保人员</w:t>
      </w:r>
      <w:r>
        <w:rPr>
          <w:rFonts w:hint="eastAsia"/>
          <w:lang w:eastAsia="zh-CN"/>
        </w:rPr>
        <w:t>对</w:t>
      </w:r>
      <w:r>
        <w:rPr>
          <w:rFonts w:hint="eastAsia"/>
          <w:lang w:val="en-US" w:eastAsia="zh-CN"/>
        </w:rPr>
        <w:t>莎车县社会保险中心2025年城乡居民养老保险支出项目工作实施后的满意度，包括城乡参保人员对相关政策、待遇领取、生活水平及莎车县社会保险中心服务保障能力等方面满意度情况。</w:t>
      </w:r>
      <w:bookmarkStart w:id="546" w:name="_Toc6908"/>
      <w:bookmarkStart w:id="547" w:name="_Toc6514"/>
      <w:bookmarkStart w:id="548" w:name="_Toc8908"/>
    </w:p>
    <w:p w14:paraId="52382620">
      <w:pPr>
        <w:pStyle w:val="26"/>
        <w:bidi w:val="0"/>
        <w:rPr>
          <w:rFonts w:hint="eastAsia"/>
        </w:rPr>
      </w:pPr>
      <w:r>
        <w:rPr>
          <w:rFonts w:hint="eastAsia"/>
          <w:lang w:eastAsia="zh-CN"/>
        </w:rPr>
        <w:t>三、</w:t>
      </w:r>
      <w:r>
        <w:rPr>
          <w:rFonts w:hint="eastAsia"/>
        </w:rPr>
        <w:t>问卷调查方式</w:t>
      </w:r>
      <w:bookmarkEnd w:id="546"/>
      <w:bookmarkEnd w:id="547"/>
      <w:bookmarkEnd w:id="548"/>
    </w:p>
    <w:p w14:paraId="52193CA7">
      <w:pPr>
        <w:bidi w:val="0"/>
        <w:rPr>
          <w:rFonts w:hint="eastAsia"/>
        </w:rPr>
      </w:pPr>
      <w:r>
        <w:rPr>
          <w:rFonts w:hint="eastAsia"/>
          <w:lang w:eastAsia="zh-CN"/>
        </w:rPr>
        <w:t>为确保问卷调查的全面性和代表性，</w:t>
      </w:r>
      <w:r>
        <w:rPr>
          <w:rFonts w:hint="eastAsia"/>
        </w:rPr>
        <w:t>本次采用抽样调查</w:t>
      </w:r>
      <w:r>
        <w:rPr>
          <w:rFonts w:hint="eastAsia"/>
          <w:lang w:eastAsia="zh-CN"/>
        </w:rPr>
        <w:t>和重点选取的</w:t>
      </w:r>
      <w:r>
        <w:rPr>
          <w:rFonts w:hint="eastAsia"/>
        </w:rPr>
        <w:t>方式</w:t>
      </w:r>
      <w:r>
        <w:rPr>
          <w:rFonts w:hint="eastAsia"/>
          <w:lang w:eastAsia="zh-CN"/>
        </w:rPr>
        <w:t>进行</w:t>
      </w:r>
      <w:r>
        <w:rPr>
          <w:rFonts w:hint="eastAsia"/>
        </w:rPr>
        <w:t>，对</w:t>
      </w:r>
      <w:r>
        <w:rPr>
          <w:rFonts w:hint="eastAsia"/>
          <w:lang w:val="en-US" w:eastAsia="zh-CN"/>
        </w:rPr>
        <w:t>城乡参保人员</w:t>
      </w:r>
      <w:r>
        <w:rPr>
          <w:rFonts w:hint="eastAsia"/>
        </w:rPr>
        <w:t>进行</w:t>
      </w:r>
      <w:r>
        <w:rPr>
          <w:rFonts w:hint="eastAsia"/>
          <w:lang w:eastAsia="zh-CN"/>
        </w:rPr>
        <w:t>抽样</w:t>
      </w:r>
      <w:r>
        <w:rPr>
          <w:rFonts w:hint="eastAsia"/>
        </w:rPr>
        <w:t>调查，在项目单位协助下，</w:t>
      </w:r>
      <w:r>
        <w:rPr>
          <w:rFonts w:hint="eastAsia"/>
          <w:lang w:eastAsia="zh-CN"/>
        </w:rPr>
        <w:t>对</w:t>
      </w:r>
      <w:r>
        <w:rPr>
          <w:rFonts w:hint="eastAsia"/>
          <w:lang w:val="en-US" w:eastAsia="zh-CN"/>
        </w:rPr>
        <w:t>2025年度城乡参保人员随机抽取200人为样本，</w:t>
      </w:r>
      <w:r>
        <w:rPr>
          <w:rFonts w:hint="eastAsia"/>
        </w:rPr>
        <w:t>发放调查问卷</w:t>
      </w:r>
      <w:r>
        <w:rPr>
          <w:rFonts w:hint="eastAsia"/>
          <w:lang w:val="en-US" w:eastAsia="zh-CN"/>
        </w:rPr>
        <w:t>200</w:t>
      </w:r>
      <w:r>
        <w:rPr>
          <w:rFonts w:hint="eastAsia"/>
        </w:rPr>
        <w:t>份。</w:t>
      </w:r>
      <w:bookmarkStart w:id="549" w:name="_Toc19483"/>
      <w:bookmarkStart w:id="550" w:name="_Toc21286"/>
      <w:bookmarkStart w:id="551" w:name="_Toc11802"/>
    </w:p>
    <w:p w14:paraId="0C6BA5D9">
      <w:pPr>
        <w:pStyle w:val="26"/>
        <w:bidi w:val="0"/>
        <w:rPr>
          <w:rFonts w:hint="eastAsia"/>
          <w:lang w:eastAsia="zh-CN"/>
        </w:rPr>
      </w:pPr>
      <w:r>
        <w:rPr>
          <w:rFonts w:hint="eastAsia"/>
          <w:lang w:eastAsia="zh-CN"/>
        </w:rPr>
        <w:t>四、问卷调查的发放和回收</w:t>
      </w:r>
      <w:bookmarkEnd w:id="549"/>
      <w:bookmarkEnd w:id="550"/>
      <w:bookmarkEnd w:id="551"/>
    </w:p>
    <w:p w14:paraId="744A6B37">
      <w:pPr>
        <w:bidi w:val="0"/>
        <w:rPr>
          <w:rFonts w:hint="eastAsia"/>
          <w:lang w:eastAsia="zh-CN"/>
        </w:rPr>
      </w:pPr>
      <w:r>
        <w:rPr>
          <w:rFonts w:hint="eastAsia"/>
          <w:lang w:eastAsia="zh-CN"/>
        </w:rPr>
        <w:t>为充分采集调查对象的真实想法，保障问卷调查的公平性和科学性，本次问卷调查不记名，采用纸质问卷形式发放与回收。</w:t>
      </w:r>
    </w:p>
    <w:p w14:paraId="2FA59102">
      <w:pPr>
        <w:pStyle w:val="26"/>
        <w:bidi w:val="0"/>
        <w:rPr>
          <w:rFonts w:hint="eastAsia"/>
        </w:rPr>
      </w:pPr>
      <w:bookmarkStart w:id="552" w:name="_Toc9067"/>
      <w:bookmarkStart w:id="553" w:name="_Toc14212"/>
      <w:bookmarkStart w:id="554" w:name="_Toc32509"/>
      <w:bookmarkStart w:id="555" w:name="_Toc18358"/>
      <w:bookmarkStart w:id="556" w:name="_Toc10796"/>
      <w:bookmarkStart w:id="557" w:name="_Toc25445"/>
      <w:bookmarkStart w:id="558" w:name="_Toc20507"/>
      <w:bookmarkStart w:id="559" w:name="_Toc24682"/>
      <w:bookmarkStart w:id="560" w:name="_Toc17265"/>
      <w:bookmarkStart w:id="561" w:name="_Toc8846"/>
      <w:bookmarkStart w:id="562" w:name="_Toc14773"/>
      <w:r>
        <w:rPr>
          <w:rFonts w:hint="eastAsia"/>
          <w:lang w:eastAsia="zh-CN"/>
        </w:rPr>
        <w:t>五</w:t>
      </w:r>
      <w:r>
        <w:rPr>
          <w:rFonts w:hint="eastAsia"/>
        </w:rPr>
        <w:t>、</w:t>
      </w:r>
      <w:r>
        <w:rPr>
          <w:rFonts w:hint="eastAsia"/>
          <w:lang w:eastAsia="zh-CN"/>
        </w:rPr>
        <w:t>问卷调查</w:t>
      </w:r>
      <w:r>
        <w:rPr>
          <w:rFonts w:hint="eastAsia"/>
        </w:rPr>
        <w:t>计算方式</w:t>
      </w:r>
      <w:bookmarkEnd w:id="552"/>
      <w:bookmarkEnd w:id="553"/>
      <w:bookmarkEnd w:id="554"/>
      <w:bookmarkEnd w:id="555"/>
      <w:bookmarkEnd w:id="556"/>
      <w:bookmarkEnd w:id="557"/>
      <w:bookmarkEnd w:id="558"/>
      <w:bookmarkEnd w:id="559"/>
      <w:bookmarkEnd w:id="560"/>
      <w:bookmarkEnd w:id="561"/>
      <w:bookmarkEnd w:id="562"/>
    </w:p>
    <w:p w14:paraId="2C5A1545">
      <w:pPr>
        <w:bidi w:val="0"/>
        <w:rPr>
          <w:rFonts w:hint="eastAsia"/>
        </w:rPr>
      </w:pPr>
      <w:r>
        <w:rPr>
          <w:rFonts w:hint="eastAsia"/>
        </w:rPr>
        <w:t>满意度=调查结果为“是”统计数/回收问卷数*100%</w:t>
      </w:r>
    </w:p>
    <w:p w14:paraId="1C10062E">
      <w:pPr>
        <w:pStyle w:val="26"/>
        <w:bidi w:val="0"/>
        <w:rPr>
          <w:rFonts w:hint="eastAsia"/>
        </w:rPr>
      </w:pPr>
      <w:bookmarkStart w:id="563" w:name="_Toc17985"/>
      <w:bookmarkStart w:id="564" w:name="_Toc6287"/>
      <w:bookmarkStart w:id="565" w:name="_Toc10335"/>
      <w:bookmarkStart w:id="566" w:name="_Toc5017"/>
      <w:bookmarkStart w:id="567" w:name="_Toc2718"/>
      <w:bookmarkStart w:id="568" w:name="_Toc14991"/>
      <w:r>
        <w:rPr>
          <w:rFonts w:hint="eastAsia"/>
          <w:lang w:eastAsia="zh-CN"/>
        </w:rPr>
        <w:t>六</w:t>
      </w:r>
      <w:r>
        <w:rPr>
          <w:rFonts w:hint="eastAsia"/>
        </w:rPr>
        <w:t>、满意度调查结果分析</w:t>
      </w:r>
      <w:bookmarkEnd w:id="563"/>
      <w:bookmarkEnd w:id="564"/>
      <w:bookmarkEnd w:id="565"/>
      <w:bookmarkEnd w:id="566"/>
      <w:bookmarkEnd w:id="567"/>
      <w:bookmarkEnd w:id="568"/>
    </w:p>
    <w:p w14:paraId="3F198623">
      <w:pPr>
        <w:bidi w:val="0"/>
        <w:rPr>
          <w:rFonts w:hint="eastAsia"/>
        </w:rPr>
      </w:pPr>
      <w:r>
        <w:rPr>
          <w:rFonts w:hint="eastAsia"/>
        </w:rPr>
        <w:t>为客观评价</w:t>
      </w:r>
      <w:r>
        <w:rPr>
          <w:rFonts w:hint="eastAsia"/>
          <w:lang w:val="en-US" w:eastAsia="zh-CN"/>
        </w:rPr>
        <w:t>2025年城乡居民养老保险支出项目城乡参保人员</w:t>
      </w:r>
      <w:r>
        <w:rPr>
          <w:rFonts w:hint="eastAsia"/>
        </w:rPr>
        <w:t>满意度情况，本次抽样发放满意度调查问卷</w:t>
      </w:r>
      <w:r>
        <w:rPr>
          <w:rFonts w:hint="eastAsia"/>
          <w:lang w:val="en-US" w:eastAsia="zh-CN"/>
        </w:rPr>
        <w:t>200</w:t>
      </w:r>
      <w:r>
        <w:rPr>
          <w:rFonts w:hint="eastAsia"/>
        </w:rPr>
        <w:t>份，回收</w:t>
      </w:r>
      <w:r>
        <w:rPr>
          <w:rFonts w:hint="eastAsia"/>
          <w:lang w:val="en-US" w:eastAsia="zh-CN"/>
        </w:rPr>
        <w:t>200</w:t>
      </w:r>
      <w:r>
        <w:rPr>
          <w:rFonts w:hint="eastAsia"/>
        </w:rPr>
        <w:t>份，</w:t>
      </w:r>
      <w:r>
        <w:rPr>
          <w:rFonts w:hint="eastAsia"/>
          <w:lang w:eastAsia="zh-CN"/>
        </w:rPr>
        <w:t>问卷回收率为</w:t>
      </w:r>
      <w:r>
        <w:rPr>
          <w:rFonts w:hint="eastAsia"/>
          <w:lang w:val="en-US" w:eastAsia="zh-CN"/>
        </w:rPr>
        <w:t>100%，有效问卷200份，有效回收率100%，调查问卷总体满意度为95%，</w:t>
      </w:r>
      <w:r>
        <w:rPr>
          <w:rFonts w:hint="eastAsia"/>
        </w:rPr>
        <w:t>具体调查情况如下：</w:t>
      </w:r>
    </w:p>
    <w:p w14:paraId="13B0AF1C">
      <w:pPr>
        <w:spacing w:line="560" w:lineRule="exact"/>
        <w:ind w:firstLine="640" w:firstLineChars="200"/>
        <w:rPr>
          <w:rFonts w:hint="eastAsia" w:ascii="方正仿宋_GBK" w:hAnsi="方正仿宋_GBK" w:eastAsia="方正仿宋_GBK" w:cs="方正仿宋_GBK"/>
          <w:color w:val="auto"/>
          <w:sz w:val="32"/>
          <w:szCs w:val="32"/>
        </w:rPr>
      </w:pPr>
    </w:p>
    <w:tbl>
      <w:tblPr>
        <w:tblStyle w:val="36"/>
        <w:tblW w:w="8410" w:type="dxa"/>
        <w:tblInd w:w="113" w:type="dxa"/>
        <w:tblLayout w:type="fixed"/>
        <w:tblCellMar>
          <w:top w:w="0" w:type="dxa"/>
          <w:left w:w="108" w:type="dxa"/>
          <w:bottom w:w="0" w:type="dxa"/>
          <w:right w:w="108" w:type="dxa"/>
        </w:tblCellMar>
      </w:tblPr>
      <w:tblGrid>
        <w:gridCol w:w="722"/>
        <w:gridCol w:w="3209"/>
        <w:gridCol w:w="956"/>
        <w:gridCol w:w="1139"/>
        <w:gridCol w:w="1356"/>
        <w:gridCol w:w="1028"/>
      </w:tblGrid>
      <w:tr w14:paraId="6CFDA741">
        <w:tblPrEx>
          <w:tblCellMar>
            <w:top w:w="0" w:type="dxa"/>
            <w:left w:w="108" w:type="dxa"/>
            <w:bottom w:w="0" w:type="dxa"/>
            <w:right w:w="108" w:type="dxa"/>
          </w:tblCellMar>
        </w:tblPrEx>
        <w:tc>
          <w:tcPr>
            <w:tcW w:w="722" w:type="dxa"/>
            <w:tcBorders>
              <w:top w:val="single" w:color="auto" w:sz="4" w:space="0"/>
              <w:left w:val="single" w:color="auto" w:sz="4" w:space="0"/>
              <w:bottom w:val="single" w:color="auto" w:sz="4" w:space="0"/>
              <w:right w:val="single" w:color="auto" w:sz="4" w:space="0"/>
            </w:tcBorders>
            <w:noWrap w:val="0"/>
            <w:vAlign w:val="center"/>
          </w:tcPr>
          <w:p w14:paraId="0DF2DA20">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序号</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402B4D08">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问题</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7326C1BD">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回收数</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5D9A6FA">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结果为“是”统计数</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1E67ADE4">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结果为“否”统计数</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ABF8C7E">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结果为“是”占比</w:t>
            </w:r>
          </w:p>
        </w:tc>
      </w:tr>
      <w:tr w14:paraId="04DA8523">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18830037">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1</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31756807">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您对项目的有关政策落实方面是否满意？</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28AE975A">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F90262D">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291479F">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24F7B379">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100%</w:t>
            </w:r>
          </w:p>
        </w:tc>
      </w:tr>
      <w:tr w14:paraId="6BD99502">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1DE04848">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2</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62804392">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您对城乡居民养老保险养老金、丧葬补助等各项补贴按时足额发放工作是否满意？</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2EC8C2AB">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5095745B">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74F7DA0">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2E09662C">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100%</w:t>
            </w:r>
          </w:p>
        </w:tc>
      </w:tr>
      <w:tr w14:paraId="0FF3E494">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396A3316">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3</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79655DA0">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您对窗口工作人员的服务态度、办事效率是否满意？</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1E29F326">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6885DC85">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1E203BED">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lang w:eastAsia="zh-CN"/>
              </w:rPr>
            </w:pPr>
            <w:r>
              <w:rPr>
                <w:rFonts w:hint="eastAsia" w:ascii="方正仿宋_GBK" w:hAnsi="方正仿宋_GBK" w:eastAsia="方正仿宋_GBK" w:cs="方正仿宋_GBK"/>
                <w:color w:val="auto"/>
                <w:sz w:val="18"/>
                <w:szCs w:val="18"/>
              </w:rPr>
              <w:t>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2D901BF5">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lang w:val="en-US" w:eastAsia="zh-CN"/>
              </w:rPr>
              <w:t>100</w:t>
            </w:r>
            <w:r>
              <w:rPr>
                <w:rFonts w:hint="eastAsia" w:ascii="方正仿宋_GBK" w:hAnsi="方正仿宋_GBK" w:eastAsia="方正仿宋_GBK" w:cs="方正仿宋_GBK"/>
                <w:color w:val="auto"/>
                <w:sz w:val="18"/>
                <w:szCs w:val="18"/>
              </w:rPr>
              <w:t>%</w:t>
            </w:r>
          </w:p>
        </w:tc>
      </w:tr>
      <w:tr w14:paraId="1FC67B75">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3D76BF50">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4</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3B361444">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结合项目实施，您认为项目实施是否保障参保人员待遇？</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7C61D68F">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265F64D2">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F3B8F92">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rPr>
              <w:t>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AF66FF3">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100%</w:t>
            </w:r>
          </w:p>
        </w:tc>
      </w:tr>
      <w:tr w14:paraId="71166A1D">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1E685C0C">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5</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42C23EAC">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eastAsia="zh-CN"/>
              </w:rPr>
            </w:pPr>
            <w:r>
              <w:rPr>
                <w:rFonts w:hint="eastAsia" w:ascii="方正仿宋_GBK" w:hAnsi="方正仿宋_GBK" w:eastAsia="方正仿宋_GBK" w:cs="方正仿宋_GBK"/>
                <w:color w:val="auto"/>
                <w:sz w:val="18"/>
                <w:szCs w:val="18"/>
                <w:lang w:eastAsia="zh-CN"/>
              </w:rPr>
              <w:t>结合全年养老金发放、业务办理、政策宣传等方面，您对项目整体工作是否满意？</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3BC07409">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D120EA3">
            <w:pPr>
              <w:keepNext w:val="0"/>
              <w:keepLines w:val="0"/>
              <w:suppressLineNumbers w:val="0"/>
              <w:spacing w:before="0" w:beforeAutospacing="0" w:after="0" w:afterAutospacing="0" w:line="560" w:lineRule="exact"/>
              <w:ind w:left="0" w:leftChars="0" w:right="0" w:firstLine="180" w:firstLineChars="100"/>
              <w:jc w:val="both"/>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190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1F252593">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10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5FA50DC">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95%</w:t>
            </w:r>
          </w:p>
        </w:tc>
      </w:tr>
    </w:tbl>
    <w:p w14:paraId="2EA6F7F0">
      <w:pPr>
        <w:bidi w:val="0"/>
        <w:ind w:left="0" w:leftChars="0" w:firstLine="640" w:firstLineChars="200"/>
        <w:rPr>
          <w:rFonts w:hint="eastAsia"/>
        </w:rPr>
        <w:sectPr>
          <w:footerReference r:id="rId8" w:type="default"/>
          <w:pgSz w:w="11906" w:h="16838"/>
          <w:pgMar w:top="1440" w:right="1800" w:bottom="1440" w:left="1800" w:header="851" w:footer="992" w:gutter="0"/>
          <w:pgNumType w:fmt="numberInDash"/>
          <w:cols w:space="425" w:num="1"/>
          <w:docGrid w:type="lines" w:linePitch="312" w:charSpace="0"/>
        </w:sectPr>
      </w:pPr>
      <w:r>
        <w:rPr>
          <w:rFonts w:hint="eastAsia"/>
        </w:rPr>
        <w:t>根据上述结果显示，本次满意度调查结果</w:t>
      </w:r>
      <w:r>
        <w:rPr>
          <w:rFonts w:hint="eastAsia"/>
          <w:lang w:eastAsia="zh-CN"/>
        </w:rPr>
        <w:t>为</w:t>
      </w:r>
      <w:r>
        <w:rPr>
          <w:rFonts w:hint="eastAsia"/>
          <w:lang w:val="en-US" w:eastAsia="zh-CN"/>
        </w:rPr>
        <w:t>95</w:t>
      </w:r>
      <w:r>
        <w:rPr>
          <w:rFonts w:hint="eastAsia"/>
        </w:rPr>
        <w:t>%。</w:t>
      </w:r>
    </w:p>
    <w:p w14:paraId="71722AF6">
      <w:pPr>
        <w:pStyle w:val="7"/>
        <w:bidi w:val="0"/>
        <w:ind w:left="0" w:leftChars="0" w:firstLine="0" w:firstLineChars="0"/>
        <w:outlineLvl w:val="0"/>
        <w:rPr>
          <w:rFonts w:hint="eastAsia"/>
          <w:lang w:val="en-US" w:eastAsia="zh-CN"/>
        </w:rPr>
      </w:pPr>
      <w:bookmarkStart w:id="569" w:name="_Toc32311"/>
      <w:r>
        <w:rPr>
          <w:rFonts w:hint="eastAsia"/>
          <w:lang w:val="zh-CN" w:eastAsia="zh-CN"/>
        </w:rPr>
        <w:t>附件</w:t>
      </w:r>
      <w:r>
        <w:rPr>
          <w:rFonts w:hint="eastAsia"/>
          <w:lang w:val="en-US" w:eastAsia="zh-CN"/>
        </w:rPr>
        <w:t>7：工作记录图片</w:t>
      </w:r>
      <w:bookmarkEnd w:id="569"/>
    </w:p>
    <w:p w14:paraId="545742EC">
      <w:pPr>
        <w:rPr>
          <w:rFonts w:hint="eastAsia"/>
          <w:lang w:val="en-US" w:eastAsia="zh-CN"/>
        </w:rPr>
      </w:pPr>
      <w:r>
        <w:rPr>
          <w:rFonts w:hint="eastAsia"/>
          <w:lang w:val="en-US" w:eastAsia="zh-CN"/>
        </w:rPr>
        <w:drawing>
          <wp:anchor distT="0" distB="0" distL="114300" distR="114300" simplePos="0" relativeHeight="251659264" behindDoc="0" locked="0" layoutInCell="1" allowOverlap="1">
            <wp:simplePos x="0" y="0"/>
            <wp:positionH relativeFrom="column">
              <wp:posOffset>1042035</wp:posOffset>
            </wp:positionH>
            <wp:positionV relativeFrom="paragraph">
              <wp:posOffset>64770</wp:posOffset>
            </wp:positionV>
            <wp:extent cx="6638925" cy="4977130"/>
            <wp:effectExtent l="0" t="0" r="9525" b="13970"/>
            <wp:wrapNone/>
            <wp:docPr id="3" name="图片 3" descr="343874adb619e513d49a1971185ce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43874adb619e513d49a1971185cea21"/>
                    <pic:cNvPicPr>
                      <a:picLocks noChangeAspect="1"/>
                    </pic:cNvPicPr>
                  </pic:nvPicPr>
                  <pic:blipFill>
                    <a:blip r:embed="rId21"/>
                    <a:stretch>
                      <a:fillRect/>
                    </a:stretch>
                  </pic:blipFill>
                  <pic:spPr>
                    <a:xfrm>
                      <a:off x="0" y="0"/>
                      <a:ext cx="6638925" cy="4977130"/>
                    </a:xfrm>
                    <a:prstGeom prst="rect">
                      <a:avLst/>
                    </a:prstGeom>
                  </pic:spPr>
                </pic:pic>
              </a:graphicData>
            </a:graphic>
          </wp:anchor>
        </w:drawing>
      </w:r>
      <w:r>
        <w:rPr>
          <w:rFonts w:hint="eastAsia"/>
          <w:lang w:val="en-US" w:eastAsia="zh-CN"/>
        </w:rPr>
        <w:br w:type="page"/>
      </w:r>
    </w:p>
    <w:p w14:paraId="6C6A14C5">
      <w:pPr>
        <w:rPr>
          <w:rFonts w:hint="default"/>
          <w:lang w:val="en-US"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795020</wp:posOffset>
            </wp:positionH>
            <wp:positionV relativeFrom="paragraph">
              <wp:posOffset>-22860</wp:posOffset>
            </wp:positionV>
            <wp:extent cx="7019925" cy="5262880"/>
            <wp:effectExtent l="0" t="0" r="9525" b="13970"/>
            <wp:wrapNone/>
            <wp:docPr id="6" name="图片 6" descr="a5c9becf7e3ea243cb9a1c967df18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5c9becf7e3ea243cb9a1c967df1821a"/>
                    <pic:cNvPicPr>
                      <a:picLocks noChangeAspect="1"/>
                    </pic:cNvPicPr>
                  </pic:nvPicPr>
                  <pic:blipFill>
                    <a:blip r:embed="rId22"/>
                    <a:stretch>
                      <a:fillRect/>
                    </a:stretch>
                  </pic:blipFill>
                  <pic:spPr>
                    <a:xfrm>
                      <a:off x="0" y="0"/>
                      <a:ext cx="7019925" cy="5262880"/>
                    </a:xfrm>
                    <a:prstGeom prst="rect">
                      <a:avLst/>
                    </a:prstGeom>
                  </pic:spPr>
                </pic:pic>
              </a:graphicData>
            </a:graphic>
          </wp:anchor>
        </w:drawing>
      </w:r>
      <w:r>
        <w:rPr>
          <w:rFonts w:hint="eastAsia"/>
          <w:lang w:val="en-US" w:eastAsia="zh-CN"/>
        </w:rPr>
        <w:t xml:space="preserve">    </w:t>
      </w:r>
    </w:p>
    <w:p w14:paraId="2E56ABBC">
      <w:pPr>
        <w:rPr>
          <w:rFonts w:hint="default"/>
          <w:lang w:val="en-US" w:eastAsia="zh-CN"/>
        </w:rPr>
      </w:pPr>
      <w:r>
        <w:rPr>
          <w:rFonts w:hint="default"/>
          <w:lang w:val="en-US" w:eastAsia="zh-CN"/>
        </w:rPr>
        <w:br w:type="page"/>
      </w:r>
    </w:p>
    <w:p w14:paraId="1F231565">
      <w:pPr>
        <w:rPr>
          <w:rFonts w:hint="default"/>
          <w:lang w:val="en-US" w:eastAsia="zh-CN"/>
        </w:rPr>
      </w:pPr>
      <w:r>
        <w:rPr>
          <w:rFonts w:hint="default"/>
          <w:lang w:val="en-US" w:eastAsia="zh-CN"/>
        </w:rPr>
        <w:drawing>
          <wp:anchor distT="0" distB="0" distL="114300" distR="114300" simplePos="0" relativeHeight="251661312" behindDoc="0" locked="0" layoutInCell="1" allowOverlap="1">
            <wp:simplePos x="0" y="0"/>
            <wp:positionH relativeFrom="column">
              <wp:posOffset>815340</wp:posOffset>
            </wp:positionH>
            <wp:positionV relativeFrom="paragraph">
              <wp:posOffset>219075</wp:posOffset>
            </wp:positionV>
            <wp:extent cx="7023735" cy="5266690"/>
            <wp:effectExtent l="0" t="0" r="5715" b="10160"/>
            <wp:wrapNone/>
            <wp:docPr id="7" name="图片 7" descr="266b6a86f5ab0f7fa2b1a1daef799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66b6a86f5ab0f7fa2b1a1daef79977d"/>
                    <pic:cNvPicPr>
                      <a:picLocks noChangeAspect="1"/>
                    </pic:cNvPicPr>
                  </pic:nvPicPr>
                  <pic:blipFill>
                    <a:blip r:embed="rId23"/>
                    <a:stretch>
                      <a:fillRect/>
                    </a:stretch>
                  </pic:blipFill>
                  <pic:spPr>
                    <a:xfrm>
                      <a:off x="0" y="0"/>
                      <a:ext cx="7023735" cy="5266690"/>
                    </a:xfrm>
                    <a:prstGeom prst="rect">
                      <a:avLst/>
                    </a:prstGeom>
                  </pic:spPr>
                </pic:pic>
              </a:graphicData>
            </a:graphic>
          </wp:anchor>
        </w:drawing>
      </w:r>
      <w:r>
        <w:rPr>
          <w:rFonts w:hint="default"/>
          <w:lang w:val="en-US" w:eastAsia="zh-CN"/>
        </w:rPr>
        <w:br w:type="page"/>
      </w:r>
    </w:p>
    <w:p w14:paraId="153DA3F8">
      <w:pPr>
        <w:pStyle w:val="7"/>
        <w:outlineLvl w:val="9"/>
        <w:rPr>
          <w:rFonts w:hint="default"/>
          <w:lang w:val="en-US" w:eastAsia="zh-CN"/>
        </w:rPr>
      </w:pPr>
      <w:r>
        <w:rPr>
          <w:rFonts w:hint="default"/>
          <w:lang w:val="en-US" w:eastAsia="zh-CN"/>
        </w:rPr>
        <w:drawing>
          <wp:anchor distT="0" distB="0" distL="114300" distR="114300" simplePos="0" relativeHeight="251662336" behindDoc="0" locked="0" layoutInCell="1" allowOverlap="1">
            <wp:simplePos x="0" y="0"/>
            <wp:positionH relativeFrom="column">
              <wp:posOffset>698500</wp:posOffset>
            </wp:positionH>
            <wp:positionV relativeFrom="paragraph">
              <wp:posOffset>-180340</wp:posOffset>
            </wp:positionV>
            <wp:extent cx="7019925" cy="5262880"/>
            <wp:effectExtent l="0" t="0" r="9525" b="13970"/>
            <wp:wrapNone/>
            <wp:docPr id="8" name="图片 8" descr="7fe31cfdb868ea9895914fd574d86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fe31cfdb868ea9895914fd574d863f5"/>
                    <pic:cNvPicPr>
                      <a:picLocks noChangeAspect="1"/>
                    </pic:cNvPicPr>
                  </pic:nvPicPr>
                  <pic:blipFill>
                    <a:blip r:embed="rId24"/>
                    <a:stretch>
                      <a:fillRect/>
                    </a:stretch>
                  </pic:blipFill>
                  <pic:spPr>
                    <a:xfrm>
                      <a:off x="0" y="0"/>
                      <a:ext cx="7019925" cy="5262880"/>
                    </a:xfrm>
                    <a:prstGeom prst="rect">
                      <a:avLst/>
                    </a:prstGeom>
                  </pic:spPr>
                </pic:pic>
              </a:graphicData>
            </a:graphic>
          </wp:anchor>
        </w:drawing>
      </w:r>
    </w:p>
    <w:p w14:paraId="636108AD">
      <w:pPr>
        <w:pStyle w:val="7"/>
        <w:outlineLvl w:val="9"/>
        <w:rPr>
          <w:rFonts w:hint="default"/>
          <w:lang w:val="en-US" w:eastAsia="zh-CN"/>
        </w:rPr>
      </w:pPr>
    </w:p>
    <w:p w14:paraId="247FA37D">
      <w:pPr>
        <w:pStyle w:val="7"/>
        <w:outlineLvl w:val="9"/>
        <w:rPr>
          <w:rFonts w:hint="default"/>
          <w:lang w:val="en-US" w:eastAsia="zh-CN"/>
        </w:rPr>
      </w:pPr>
    </w:p>
    <w:p w14:paraId="01626782">
      <w:pPr>
        <w:pStyle w:val="7"/>
        <w:outlineLvl w:val="9"/>
        <w:rPr>
          <w:rFonts w:hint="default"/>
          <w:lang w:val="en-US" w:eastAsia="zh-CN"/>
        </w:rPr>
      </w:pPr>
    </w:p>
    <w:p w14:paraId="34A474A6">
      <w:pPr>
        <w:pStyle w:val="7"/>
        <w:outlineLvl w:val="9"/>
        <w:rPr>
          <w:rFonts w:hint="default"/>
          <w:lang w:val="en-US" w:eastAsia="zh-CN"/>
        </w:rPr>
      </w:pPr>
    </w:p>
    <w:p w14:paraId="508864B3">
      <w:pPr>
        <w:pStyle w:val="7"/>
        <w:outlineLvl w:val="9"/>
        <w:rPr>
          <w:rFonts w:hint="default"/>
          <w:lang w:val="en-US" w:eastAsia="zh-CN"/>
        </w:rPr>
        <w:sectPr>
          <w:footerReference r:id="rId9" w:type="default"/>
          <w:pgSz w:w="16838" w:h="11906" w:orient="landscape"/>
          <w:pgMar w:top="1800" w:right="1440" w:bottom="1800" w:left="1440" w:header="851" w:footer="992" w:gutter="0"/>
          <w:pgNumType w:fmt="numberInDash"/>
          <w:cols w:space="425" w:num="1"/>
          <w:docGrid w:type="lines" w:linePitch="312" w:charSpace="0"/>
        </w:sectPr>
      </w:pPr>
    </w:p>
    <w:p w14:paraId="33F86910">
      <w:pPr>
        <w:rPr>
          <w:rFonts w:hint="default"/>
          <w:lang w:val="en-US" w:eastAsia="zh-CN"/>
        </w:rPr>
      </w:pPr>
      <w:r>
        <w:rPr>
          <w:rFonts w:hint="default"/>
          <w:lang w:val="en-US" w:eastAsia="zh-CN"/>
        </w:rPr>
        <w:drawing>
          <wp:anchor distT="0" distB="0" distL="114300" distR="114300" simplePos="0" relativeHeight="251663360" behindDoc="0" locked="0" layoutInCell="1" allowOverlap="1">
            <wp:simplePos x="0" y="0"/>
            <wp:positionH relativeFrom="column">
              <wp:posOffset>-77470</wp:posOffset>
            </wp:positionH>
            <wp:positionV relativeFrom="paragraph">
              <wp:posOffset>631190</wp:posOffset>
            </wp:positionV>
            <wp:extent cx="5262880" cy="7019925"/>
            <wp:effectExtent l="0" t="0" r="13970" b="9525"/>
            <wp:wrapNone/>
            <wp:docPr id="9" name="图片 9" descr="19edab0be6c6324b6ea4dec2e711fb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9edab0be6c6324b6ea4dec2e711fb4f"/>
                    <pic:cNvPicPr>
                      <a:picLocks noChangeAspect="1"/>
                    </pic:cNvPicPr>
                  </pic:nvPicPr>
                  <pic:blipFill>
                    <a:blip r:embed="rId25"/>
                    <a:stretch>
                      <a:fillRect/>
                    </a:stretch>
                  </pic:blipFill>
                  <pic:spPr>
                    <a:xfrm>
                      <a:off x="0" y="0"/>
                      <a:ext cx="5262880" cy="7019925"/>
                    </a:xfrm>
                    <a:prstGeom prst="rect">
                      <a:avLst/>
                    </a:prstGeom>
                  </pic:spPr>
                </pic:pic>
              </a:graphicData>
            </a:graphic>
          </wp:anchor>
        </w:drawing>
      </w:r>
    </w:p>
    <w:sectPr>
      <w:footerReference r:id="rId10"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61C00">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487A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53487AE">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43D7A">
    <w:pPr>
      <w:pStyle w:val="4"/>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29469">
                          <w:pPr>
                            <w:pStyle w:val="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9A29469">
                    <w:pPr>
                      <w:pStyle w:val="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34253">
    <w:pPr>
      <w:pStyle w:val="4"/>
    </w:pPr>
    <w:r>
      <w:rPr>
        <w:sz w:val="2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2AAD90">
                          <w:pPr>
                            <w:pStyle w:val="4"/>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42AAD90">
                    <w:pPr>
                      <w:pStyle w:val="4"/>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9CC77">
    <w:pPr>
      <w:pStyle w:val="4"/>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FFB6A">
                          <w:pPr>
                            <w:pStyle w:val="4"/>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8CFFB6A">
                    <w:pPr>
                      <w:pStyle w:val="4"/>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19196">
    <w:pPr>
      <w:pStyle w:val="4"/>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9ACAE7">
                          <w:pPr>
                            <w:pStyle w:val="4"/>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09ACAE7">
                    <w:pPr>
                      <w:pStyle w:val="4"/>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6B7D">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B1E19"/>
    <w:multiLevelType w:val="singleLevel"/>
    <w:tmpl w:val="AF2B1E19"/>
    <w:lvl w:ilvl="0" w:tentative="0">
      <w:start w:val="1"/>
      <w:numFmt w:val="decimal"/>
      <w:suff w:val="nothing"/>
      <w:lvlText w:val="（%1）"/>
      <w:lvlJc w:val="left"/>
    </w:lvl>
  </w:abstractNum>
  <w:abstractNum w:abstractNumId="1">
    <w:nsid w:val="D0986E41"/>
    <w:multiLevelType w:val="singleLevel"/>
    <w:tmpl w:val="D0986E4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3ZWVhNGNiYTlmZTJiNThhNDI1MjE3NWQ2YjhlZmEifQ=="/>
  </w:docVars>
  <w:rsids>
    <w:rsidRoot w:val="2628021F"/>
    <w:rsid w:val="00454EF2"/>
    <w:rsid w:val="0061174E"/>
    <w:rsid w:val="006609ED"/>
    <w:rsid w:val="00A11E6F"/>
    <w:rsid w:val="00AA39C6"/>
    <w:rsid w:val="00AF770A"/>
    <w:rsid w:val="00B406C6"/>
    <w:rsid w:val="00BA261C"/>
    <w:rsid w:val="00E72DDB"/>
    <w:rsid w:val="010A26B0"/>
    <w:rsid w:val="015C1C63"/>
    <w:rsid w:val="01636066"/>
    <w:rsid w:val="01647C14"/>
    <w:rsid w:val="016A4D6A"/>
    <w:rsid w:val="017B2751"/>
    <w:rsid w:val="019F7853"/>
    <w:rsid w:val="01D124F0"/>
    <w:rsid w:val="01E43C06"/>
    <w:rsid w:val="01F47232"/>
    <w:rsid w:val="01F473D9"/>
    <w:rsid w:val="01FF2F27"/>
    <w:rsid w:val="020A4075"/>
    <w:rsid w:val="02345366"/>
    <w:rsid w:val="0239184C"/>
    <w:rsid w:val="025A14DD"/>
    <w:rsid w:val="02775ADA"/>
    <w:rsid w:val="02C37ABA"/>
    <w:rsid w:val="02CF2DA6"/>
    <w:rsid w:val="02F86442"/>
    <w:rsid w:val="0302652A"/>
    <w:rsid w:val="03062E71"/>
    <w:rsid w:val="034F19A0"/>
    <w:rsid w:val="03511FE0"/>
    <w:rsid w:val="03C51479"/>
    <w:rsid w:val="03FE0D4C"/>
    <w:rsid w:val="04102FDF"/>
    <w:rsid w:val="041F13AB"/>
    <w:rsid w:val="043E5F09"/>
    <w:rsid w:val="04793FF1"/>
    <w:rsid w:val="04A21BBF"/>
    <w:rsid w:val="04BE4D74"/>
    <w:rsid w:val="04C030C7"/>
    <w:rsid w:val="04C856DD"/>
    <w:rsid w:val="04F93AE0"/>
    <w:rsid w:val="04F9508E"/>
    <w:rsid w:val="051D2772"/>
    <w:rsid w:val="0523321B"/>
    <w:rsid w:val="05540464"/>
    <w:rsid w:val="055D1E52"/>
    <w:rsid w:val="058B444B"/>
    <w:rsid w:val="059265CE"/>
    <w:rsid w:val="059B5732"/>
    <w:rsid w:val="06084EE9"/>
    <w:rsid w:val="061B45BF"/>
    <w:rsid w:val="062C0A13"/>
    <w:rsid w:val="062D3C3A"/>
    <w:rsid w:val="06347BAE"/>
    <w:rsid w:val="06372B70"/>
    <w:rsid w:val="064B4284"/>
    <w:rsid w:val="0674352F"/>
    <w:rsid w:val="068457A0"/>
    <w:rsid w:val="069A7EFB"/>
    <w:rsid w:val="069C7867"/>
    <w:rsid w:val="06AA5320"/>
    <w:rsid w:val="06CA6CC3"/>
    <w:rsid w:val="06D71C2E"/>
    <w:rsid w:val="06E2758C"/>
    <w:rsid w:val="0704492A"/>
    <w:rsid w:val="07196161"/>
    <w:rsid w:val="07846CA5"/>
    <w:rsid w:val="07A712AE"/>
    <w:rsid w:val="07AA7E4B"/>
    <w:rsid w:val="07AF5B84"/>
    <w:rsid w:val="07E20FDF"/>
    <w:rsid w:val="08054732"/>
    <w:rsid w:val="0806243A"/>
    <w:rsid w:val="08154BF5"/>
    <w:rsid w:val="082232C0"/>
    <w:rsid w:val="08320C65"/>
    <w:rsid w:val="08437B95"/>
    <w:rsid w:val="0851120A"/>
    <w:rsid w:val="08A3592E"/>
    <w:rsid w:val="08C827CA"/>
    <w:rsid w:val="09140BCC"/>
    <w:rsid w:val="09607009"/>
    <w:rsid w:val="0974296B"/>
    <w:rsid w:val="09807144"/>
    <w:rsid w:val="09816BAF"/>
    <w:rsid w:val="09871AD4"/>
    <w:rsid w:val="09925859"/>
    <w:rsid w:val="09961F99"/>
    <w:rsid w:val="09A51579"/>
    <w:rsid w:val="09A56507"/>
    <w:rsid w:val="09F75C9C"/>
    <w:rsid w:val="0A05003B"/>
    <w:rsid w:val="0A1A0B9C"/>
    <w:rsid w:val="0A33102B"/>
    <w:rsid w:val="0A3A1924"/>
    <w:rsid w:val="0A4514BF"/>
    <w:rsid w:val="0A7126CE"/>
    <w:rsid w:val="0A8E36E9"/>
    <w:rsid w:val="0AA35976"/>
    <w:rsid w:val="0AB75331"/>
    <w:rsid w:val="0AED21D7"/>
    <w:rsid w:val="0B10482F"/>
    <w:rsid w:val="0B3D5EC9"/>
    <w:rsid w:val="0B5735A2"/>
    <w:rsid w:val="0B694BA0"/>
    <w:rsid w:val="0B8654C6"/>
    <w:rsid w:val="0B985BE8"/>
    <w:rsid w:val="0BBB4A58"/>
    <w:rsid w:val="0BCE57D5"/>
    <w:rsid w:val="0BDB654C"/>
    <w:rsid w:val="0BDE664D"/>
    <w:rsid w:val="0BEE0384"/>
    <w:rsid w:val="0BEE26B4"/>
    <w:rsid w:val="0BF43F21"/>
    <w:rsid w:val="0C41055A"/>
    <w:rsid w:val="0C9133EC"/>
    <w:rsid w:val="0D01227B"/>
    <w:rsid w:val="0D35493D"/>
    <w:rsid w:val="0D477A27"/>
    <w:rsid w:val="0D766D7F"/>
    <w:rsid w:val="0D8759C2"/>
    <w:rsid w:val="0D8D4100"/>
    <w:rsid w:val="0DAA39E4"/>
    <w:rsid w:val="0DBB4477"/>
    <w:rsid w:val="0DBE6BF2"/>
    <w:rsid w:val="0DCB20FA"/>
    <w:rsid w:val="0DF45FE2"/>
    <w:rsid w:val="0E0568EF"/>
    <w:rsid w:val="0E32698F"/>
    <w:rsid w:val="0E5341C8"/>
    <w:rsid w:val="0E550377"/>
    <w:rsid w:val="0E7B35BC"/>
    <w:rsid w:val="0E9536CC"/>
    <w:rsid w:val="0E9B4C74"/>
    <w:rsid w:val="0EAD738F"/>
    <w:rsid w:val="0ECD2211"/>
    <w:rsid w:val="0EFC5F6A"/>
    <w:rsid w:val="0F650DCB"/>
    <w:rsid w:val="0F671B5E"/>
    <w:rsid w:val="0FA96504"/>
    <w:rsid w:val="0FC42AAF"/>
    <w:rsid w:val="0FF80511"/>
    <w:rsid w:val="103752FD"/>
    <w:rsid w:val="1074067B"/>
    <w:rsid w:val="109155A9"/>
    <w:rsid w:val="10E83E85"/>
    <w:rsid w:val="10EE49C7"/>
    <w:rsid w:val="112E0021"/>
    <w:rsid w:val="11357601"/>
    <w:rsid w:val="115276AE"/>
    <w:rsid w:val="11554B0B"/>
    <w:rsid w:val="116F3502"/>
    <w:rsid w:val="119016D3"/>
    <w:rsid w:val="11C86E5B"/>
    <w:rsid w:val="11D76AEF"/>
    <w:rsid w:val="11FA3614"/>
    <w:rsid w:val="12022557"/>
    <w:rsid w:val="120D166A"/>
    <w:rsid w:val="122863AF"/>
    <w:rsid w:val="12A339AC"/>
    <w:rsid w:val="12B932B6"/>
    <w:rsid w:val="12D7219D"/>
    <w:rsid w:val="12F72695"/>
    <w:rsid w:val="13016F1F"/>
    <w:rsid w:val="13286FC7"/>
    <w:rsid w:val="133346ED"/>
    <w:rsid w:val="133D7E2A"/>
    <w:rsid w:val="136A08AE"/>
    <w:rsid w:val="136B1E58"/>
    <w:rsid w:val="13A8760D"/>
    <w:rsid w:val="13B358E6"/>
    <w:rsid w:val="13BE6CB4"/>
    <w:rsid w:val="141929BC"/>
    <w:rsid w:val="14284041"/>
    <w:rsid w:val="143B17D4"/>
    <w:rsid w:val="14601D53"/>
    <w:rsid w:val="14646F3B"/>
    <w:rsid w:val="148760E4"/>
    <w:rsid w:val="149D450C"/>
    <w:rsid w:val="14A23D11"/>
    <w:rsid w:val="14B32F94"/>
    <w:rsid w:val="14F379A4"/>
    <w:rsid w:val="15034B86"/>
    <w:rsid w:val="150C2C5E"/>
    <w:rsid w:val="151052B3"/>
    <w:rsid w:val="155B197F"/>
    <w:rsid w:val="156504A7"/>
    <w:rsid w:val="157555D3"/>
    <w:rsid w:val="15BE4FB7"/>
    <w:rsid w:val="16053B39"/>
    <w:rsid w:val="160D49A4"/>
    <w:rsid w:val="164A7C99"/>
    <w:rsid w:val="1655539A"/>
    <w:rsid w:val="165826DC"/>
    <w:rsid w:val="16587730"/>
    <w:rsid w:val="165A7415"/>
    <w:rsid w:val="16B36D93"/>
    <w:rsid w:val="16CF21DA"/>
    <w:rsid w:val="16E75626"/>
    <w:rsid w:val="1707367D"/>
    <w:rsid w:val="17147A04"/>
    <w:rsid w:val="171A5560"/>
    <w:rsid w:val="176B3E29"/>
    <w:rsid w:val="179A6D0A"/>
    <w:rsid w:val="17B66C03"/>
    <w:rsid w:val="17CE44C3"/>
    <w:rsid w:val="1831215C"/>
    <w:rsid w:val="18607F32"/>
    <w:rsid w:val="186E7155"/>
    <w:rsid w:val="18830DAF"/>
    <w:rsid w:val="18B43502"/>
    <w:rsid w:val="18C1391B"/>
    <w:rsid w:val="18DE2275"/>
    <w:rsid w:val="192A6540"/>
    <w:rsid w:val="192F5360"/>
    <w:rsid w:val="193A6166"/>
    <w:rsid w:val="19A35822"/>
    <w:rsid w:val="19CB70D4"/>
    <w:rsid w:val="19F63C12"/>
    <w:rsid w:val="1A3C12FE"/>
    <w:rsid w:val="1A4D22C9"/>
    <w:rsid w:val="1A5136E4"/>
    <w:rsid w:val="1A966293"/>
    <w:rsid w:val="1AA5592C"/>
    <w:rsid w:val="1AB77FAF"/>
    <w:rsid w:val="1AC35B3E"/>
    <w:rsid w:val="1B0C4E83"/>
    <w:rsid w:val="1B2D4C68"/>
    <w:rsid w:val="1B795728"/>
    <w:rsid w:val="1BB55B38"/>
    <w:rsid w:val="1BD417C5"/>
    <w:rsid w:val="1C2025ED"/>
    <w:rsid w:val="1C212E27"/>
    <w:rsid w:val="1C373129"/>
    <w:rsid w:val="1C3C2E24"/>
    <w:rsid w:val="1C5150A4"/>
    <w:rsid w:val="1C8E1779"/>
    <w:rsid w:val="1C9A6310"/>
    <w:rsid w:val="1CA3055D"/>
    <w:rsid w:val="1CAA2D2C"/>
    <w:rsid w:val="1CD61580"/>
    <w:rsid w:val="1CFC67B9"/>
    <w:rsid w:val="1D0510E0"/>
    <w:rsid w:val="1D09444D"/>
    <w:rsid w:val="1D111687"/>
    <w:rsid w:val="1D1F1C90"/>
    <w:rsid w:val="1D27086D"/>
    <w:rsid w:val="1D3C3F36"/>
    <w:rsid w:val="1D5E7B5F"/>
    <w:rsid w:val="1D68698C"/>
    <w:rsid w:val="1D76756D"/>
    <w:rsid w:val="1D8428F3"/>
    <w:rsid w:val="1DB52603"/>
    <w:rsid w:val="1DC12AFF"/>
    <w:rsid w:val="1DDD5320"/>
    <w:rsid w:val="1E00446D"/>
    <w:rsid w:val="1E0A1131"/>
    <w:rsid w:val="1E1C622B"/>
    <w:rsid w:val="1E291533"/>
    <w:rsid w:val="1E533711"/>
    <w:rsid w:val="1EAD7FA6"/>
    <w:rsid w:val="1EB101A9"/>
    <w:rsid w:val="1F261536"/>
    <w:rsid w:val="1F301A0A"/>
    <w:rsid w:val="1F3667A6"/>
    <w:rsid w:val="1F6B28A5"/>
    <w:rsid w:val="1F8573F4"/>
    <w:rsid w:val="1F8A6123"/>
    <w:rsid w:val="1FCB3ED5"/>
    <w:rsid w:val="1FE508AF"/>
    <w:rsid w:val="202D7BD5"/>
    <w:rsid w:val="20351648"/>
    <w:rsid w:val="203D6234"/>
    <w:rsid w:val="204338DC"/>
    <w:rsid w:val="208E27DD"/>
    <w:rsid w:val="20AE2EE3"/>
    <w:rsid w:val="20B45A77"/>
    <w:rsid w:val="20F146D8"/>
    <w:rsid w:val="20FA07DA"/>
    <w:rsid w:val="210B56D1"/>
    <w:rsid w:val="2149569B"/>
    <w:rsid w:val="214E3DC6"/>
    <w:rsid w:val="21707044"/>
    <w:rsid w:val="218A327B"/>
    <w:rsid w:val="219366B8"/>
    <w:rsid w:val="21AD7DE1"/>
    <w:rsid w:val="21C8617E"/>
    <w:rsid w:val="21D97A5C"/>
    <w:rsid w:val="21F84F23"/>
    <w:rsid w:val="21FB5B44"/>
    <w:rsid w:val="22371CDC"/>
    <w:rsid w:val="225A2F2C"/>
    <w:rsid w:val="229654CA"/>
    <w:rsid w:val="229730AE"/>
    <w:rsid w:val="22A85759"/>
    <w:rsid w:val="22AB4B18"/>
    <w:rsid w:val="22C15ACF"/>
    <w:rsid w:val="22D15CD8"/>
    <w:rsid w:val="22DC764D"/>
    <w:rsid w:val="22DE36DB"/>
    <w:rsid w:val="22E17041"/>
    <w:rsid w:val="231B037B"/>
    <w:rsid w:val="23453447"/>
    <w:rsid w:val="235D558A"/>
    <w:rsid w:val="237530D7"/>
    <w:rsid w:val="23B53E96"/>
    <w:rsid w:val="23C104FF"/>
    <w:rsid w:val="23C3450A"/>
    <w:rsid w:val="23D90E5E"/>
    <w:rsid w:val="240B3EE3"/>
    <w:rsid w:val="242722B1"/>
    <w:rsid w:val="24276EE7"/>
    <w:rsid w:val="24376004"/>
    <w:rsid w:val="24485EC5"/>
    <w:rsid w:val="24492FF2"/>
    <w:rsid w:val="247A40DF"/>
    <w:rsid w:val="24C33971"/>
    <w:rsid w:val="24D43819"/>
    <w:rsid w:val="24E1422B"/>
    <w:rsid w:val="24E64C31"/>
    <w:rsid w:val="250F1BAE"/>
    <w:rsid w:val="25413C52"/>
    <w:rsid w:val="256049A7"/>
    <w:rsid w:val="2569619D"/>
    <w:rsid w:val="256D4FAF"/>
    <w:rsid w:val="2574349F"/>
    <w:rsid w:val="25814BDC"/>
    <w:rsid w:val="26160A06"/>
    <w:rsid w:val="2628021F"/>
    <w:rsid w:val="26305539"/>
    <w:rsid w:val="263C56CF"/>
    <w:rsid w:val="26686236"/>
    <w:rsid w:val="26A11385"/>
    <w:rsid w:val="26A819B1"/>
    <w:rsid w:val="27613D5C"/>
    <w:rsid w:val="27632A34"/>
    <w:rsid w:val="2768027B"/>
    <w:rsid w:val="277625E2"/>
    <w:rsid w:val="277A3B68"/>
    <w:rsid w:val="278C6D9F"/>
    <w:rsid w:val="27BA7FBF"/>
    <w:rsid w:val="27BB57C5"/>
    <w:rsid w:val="27C148A5"/>
    <w:rsid w:val="27DC4CD0"/>
    <w:rsid w:val="27E77044"/>
    <w:rsid w:val="27ED7549"/>
    <w:rsid w:val="281B0CD1"/>
    <w:rsid w:val="281F689F"/>
    <w:rsid w:val="28281A14"/>
    <w:rsid w:val="2846729C"/>
    <w:rsid w:val="28831964"/>
    <w:rsid w:val="289238A2"/>
    <w:rsid w:val="28B40891"/>
    <w:rsid w:val="29117374"/>
    <w:rsid w:val="295F6F09"/>
    <w:rsid w:val="296236AF"/>
    <w:rsid w:val="297B5854"/>
    <w:rsid w:val="29CE79A9"/>
    <w:rsid w:val="29D01A41"/>
    <w:rsid w:val="29E777B5"/>
    <w:rsid w:val="29F21851"/>
    <w:rsid w:val="29F52374"/>
    <w:rsid w:val="2A0064CC"/>
    <w:rsid w:val="2A1129F9"/>
    <w:rsid w:val="2A2D6AB9"/>
    <w:rsid w:val="2A374322"/>
    <w:rsid w:val="2A383A91"/>
    <w:rsid w:val="2A4B4DC5"/>
    <w:rsid w:val="2AF37F8A"/>
    <w:rsid w:val="2AFD0D71"/>
    <w:rsid w:val="2B155DBD"/>
    <w:rsid w:val="2B242908"/>
    <w:rsid w:val="2B342976"/>
    <w:rsid w:val="2B497597"/>
    <w:rsid w:val="2B6B5CF7"/>
    <w:rsid w:val="2B7D554D"/>
    <w:rsid w:val="2B8914DD"/>
    <w:rsid w:val="2B8B4DA5"/>
    <w:rsid w:val="2B964810"/>
    <w:rsid w:val="2BA03282"/>
    <w:rsid w:val="2BC76BB8"/>
    <w:rsid w:val="2C2624BF"/>
    <w:rsid w:val="2C3217FC"/>
    <w:rsid w:val="2C4B351B"/>
    <w:rsid w:val="2C7A7C32"/>
    <w:rsid w:val="2C8B4328"/>
    <w:rsid w:val="2C9D45DF"/>
    <w:rsid w:val="2CB12848"/>
    <w:rsid w:val="2CE34607"/>
    <w:rsid w:val="2D053A86"/>
    <w:rsid w:val="2D311B02"/>
    <w:rsid w:val="2D3B0A12"/>
    <w:rsid w:val="2D405D1C"/>
    <w:rsid w:val="2D59027F"/>
    <w:rsid w:val="2D5F5AD6"/>
    <w:rsid w:val="2D795939"/>
    <w:rsid w:val="2D932117"/>
    <w:rsid w:val="2DB86831"/>
    <w:rsid w:val="2DF02488"/>
    <w:rsid w:val="2E385AF2"/>
    <w:rsid w:val="2E4059D2"/>
    <w:rsid w:val="2E893CCC"/>
    <w:rsid w:val="2E8A5CB8"/>
    <w:rsid w:val="2E8B43F7"/>
    <w:rsid w:val="2E963B54"/>
    <w:rsid w:val="2EA95F17"/>
    <w:rsid w:val="2EC35C05"/>
    <w:rsid w:val="2ED6461C"/>
    <w:rsid w:val="2EFE00EC"/>
    <w:rsid w:val="2EFF390A"/>
    <w:rsid w:val="2F0852D9"/>
    <w:rsid w:val="2F1224B7"/>
    <w:rsid w:val="2F573747"/>
    <w:rsid w:val="2F5F15B8"/>
    <w:rsid w:val="2F63626F"/>
    <w:rsid w:val="2F7E2378"/>
    <w:rsid w:val="2F9E3C0C"/>
    <w:rsid w:val="2FBF3B8C"/>
    <w:rsid w:val="2FBF77BB"/>
    <w:rsid w:val="2FDF0C89"/>
    <w:rsid w:val="2FE4537E"/>
    <w:rsid w:val="30223E1E"/>
    <w:rsid w:val="30277418"/>
    <w:rsid w:val="30322C96"/>
    <w:rsid w:val="30444763"/>
    <w:rsid w:val="30653101"/>
    <w:rsid w:val="306D4F40"/>
    <w:rsid w:val="306E277B"/>
    <w:rsid w:val="307E0CAD"/>
    <w:rsid w:val="309B7D6F"/>
    <w:rsid w:val="30DA62E5"/>
    <w:rsid w:val="30EC379B"/>
    <w:rsid w:val="30F55B8D"/>
    <w:rsid w:val="3135551E"/>
    <w:rsid w:val="31692558"/>
    <w:rsid w:val="318621B1"/>
    <w:rsid w:val="324D4B01"/>
    <w:rsid w:val="325A498A"/>
    <w:rsid w:val="326A3318"/>
    <w:rsid w:val="327B3A37"/>
    <w:rsid w:val="327F544C"/>
    <w:rsid w:val="330A7BC7"/>
    <w:rsid w:val="331408E6"/>
    <w:rsid w:val="332D5984"/>
    <w:rsid w:val="332E5E45"/>
    <w:rsid w:val="335F4BB4"/>
    <w:rsid w:val="338261D8"/>
    <w:rsid w:val="33E60AB2"/>
    <w:rsid w:val="33FD60DE"/>
    <w:rsid w:val="343A0F10"/>
    <w:rsid w:val="343B1DA8"/>
    <w:rsid w:val="3455420C"/>
    <w:rsid w:val="348179D1"/>
    <w:rsid w:val="349F7E72"/>
    <w:rsid w:val="34C86714"/>
    <w:rsid w:val="34CC10FE"/>
    <w:rsid w:val="34D36C83"/>
    <w:rsid w:val="34D5653D"/>
    <w:rsid w:val="34EA5F3B"/>
    <w:rsid w:val="34FC7B76"/>
    <w:rsid w:val="35293D8E"/>
    <w:rsid w:val="3545457A"/>
    <w:rsid w:val="354760F5"/>
    <w:rsid w:val="356261D9"/>
    <w:rsid w:val="3576035D"/>
    <w:rsid w:val="359C7ACC"/>
    <w:rsid w:val="35FE4E42"/>
    <w:rsid w:val="361374D2"/>
    <w:rsid w:val="364370ED"/>
    <w:rsid w:val="370421C1"/>
    <w:rsid w:val="370E2E94"/>
    <w:rsid w:val="37340B34"/>
    <w:rsid w:val="37444B4C"/>
    <w:rsid w:val="379B5278"/>
    <w:rsid w:val="37B10656"/>
    <w:rsid w:val="37B209E5"/>
    <w:rsid w:val="37B801A1"/>
    <w:rsid w:val="37BF0FAF"/>
    <w:rsid w:val="37FD1CF0"/>
    <w:rsid w:val="384E7237"/>
    <w:rsid w:val="38671AF4"/>
    <w:rsid w:val="386F3A8A"/>
    <w:rsid w:val="38787B98"/>
    <w:rsid w:val="3888441A"/>
    <w:rsid w:val="38AC0888"/>
    <w:rsid w:val="38D238BC"/>
    <w:rsid w:val="39055318"/>
    <w:rsid w:val="398746D7"/>
    <w:rsid w:val="39C17EE2"/>
    <w:rsid w:val="39CE7D31"/>
    <w:rsid w:val="3A126F41"/>
    <w:rsid w:val="3A265EC9"/>
    <w:rsid w:val="3A464A7C"/>
    <w:rsid w:val="3A6A19D0"/>
    <w:rsid w:val="3A815BEE"/>
    <w:rsid w:val="3A816FB3"/>
    <w:rsid w:val="3A96223B"/>
    <w:rsid w:val="3AB8317A"/>
    <w:rsid w:val="3ABF4FF4"/>
    <w:rsid w:val="3AC30E46"/>
    <w:rsid w:val="3AC43F73"/>
    <w:rsid w:val="3ACA51D4"/>
    <w:rsid w:val="3AE75EB4"/>
    <w:rsid w:val="3B630F49"/>
    <w:rsid w:val="3B932A7D"/>
    <w:rsid w:val="3B9E0D9F"/>
    <w:rsid w:val="3BC34C04"/>
    <w:rsid w:val="3C32242B"/>
    <w:rsid w:val="3C365500"/>
    <w:rsid w:val="3C3D3D10"/>
    <w:rsid w:val="3C533556"/>
    <w:rsid w:val="3C7468DD"/>
    <w:rsid w:val="3CCA39C9"/>
    <w:rsid w:val="3CD553C5"/>
    <w:rsid w:val="3CDC4A97"/>
    <w:rsid w:val="3CFF1079"/>
    <w:rsid w:val="3D6B0879"/>
    <w:rsid w:val="3D72006D"/>
    <w:rsid w:val="3DAF1779"/>
    <w:rsid w:val="3DB73E13"/>
    <w:rsid w:val="3DC43C0B"/>
    <w:rsid w:val="3DE47B36"/>
    <w:rsid w:val="3DE9244C"/>
    <w:rsid w:val="3DF4207A"/>
    <w:rsid w:val="3DF46889"/>
    <w:rsid w:val="3DF75E51"/>
    <w:rsid w:val="3E0A6E50"/>
    <w:rsid w:val="3E135D25"/>
    <w:rsid w:val="3E464127"/>
    <w:rsid w:val="3E482DF4"/>
    <w:rsid w:val="3EAF1A85"/>
    <w:rsid w:val="3EC51A02"/>
    <w:rsid w:val="3EE51254"/>
    <w:rsid w:val="3F1D2AEE"/>
    <w:rsid w:val="3F3445BF"/>
    <w:rsid w:val="3F631756"/>
    <w:rsid w:val="3FC83A45"/>
    <w:rsid w:val="3FF83425"/>
    <w:rsid w:val="40311165"/>
    <w:rsid w:val="404912D4"/>
    <w:rsid w:val="406D237C"/>
    <w:rsid w:val="40806745"/>
    <w:rsid w:val="40945C09"/>
    <w:rsid w:val="409B5969"/>
    <w:rsid w:val="40B95AF8"/>
    <w:rsid w:val="40BC4EE8"/>
    <w:rsid w:val="40E85657"/>
    <w:rsid w:val="40FB4CEF"/>
    <w:rsid w:val="41121847"/>
    <w:rsid w:val="414601C0"/>
    <w:rsid w:val="41644386"/>
    <w:rsid w:val="41676F81"/>
    <w:rsid w:val="41911753"/>
    <w:rsid w:val="41B35C53"/>
    <w:rsid w:val="41BC1732"/>
    <w:rsid w:val="421472F2"/>
    <w:rsid w:val="422C3859"/>
    <w:rsid w:val="423350D1"/>
    <w:rsid w:val="423A37A7"/>
    <w:rsid w:val="424A7726"/>
    <w:rsid w:val="424D3EFC"/>
    <w:rsid w:val="425D6FE4"/>
    <w:rsid w:val="4268470D"/>
    <w:rsid w:val="42AD4731"/>
    <w:rsid w:val="42B76BE9"/>
    <w:rsid w:val="42C63EFC"/>
    <w:rsid w:val="43093FE0"/>
    <w:rsid w:val="43162174"/>
    <w:rsid w:val="43205EF4"/>
    <w:rsid w:val="432259FE"/>
    <w:rsid w:val="43627942"/>
    <w:rsid w:val="4364454A"/>
    <w:rsid w:val="436C584E"/>
    <w:rsid w:val="43766F01"/>
    <w:rsid w:val="437A6C71"/>
    <w:rsid w:val="43823D3A"/>
    <w:rsid w:val="43876F2A"/>
    <w:rsid w:val="438E3A4D"/>
    <w:rsid w:val="43C265CF"/>
    <w:rsid w:val="43C527B0"/>
    <w:rsid w:val="440B5D82"/>
    <w:rsid w:val="4422526D"/>
    <w:rsid w:val="443D1010"/>
    <w:rsid w:val="445155AC"/>
    <w:rsid w:val="4454199A"/>
    <w:rsid w:val="446D3409"/>
    <w:rsid w:val="44823CAD"/>
    <w:rsid w:val="44AA120B"/>
    <w:rsid w:val="44D044BC"/>
    <w:rsid w:val="44E9361D"/>
    <w:rsid w:val="44F06EB8"/>
    <w:rsid w:val="44F10563"/>
    <w:rsid w:val="451A110B"/>
    <w:rsid w:val="45352DE4"/>
    <w:rsid w:val="4558716F"/>
    <w:rsid w:val="45BF539D"/>
    <w:rsid w:val="45D86DD1"/>
    <w:rsid w:val="461014BB"/>
    <w:rsid w:val="461A688B"/>
    <w:rsid w:val="462123D7"/>
    <w:rsid w:val="46272018"/>
    <w:rsid w:val="463B5756"/>
    <w:rsid w:val="464975B3"/>
    <w:rsid w:val="464C5636"/>
    <w:rsid w:val="465C7DDA"/>
    <w:rsid w:val="467F22B3"/>
    <w:rsid w:val="468469A9"/>
    <w:rsid w:val="469769DC"/>
    <w:rsid w:val="46A36FBC"/>
    <w:rsid w:val="46AA7DFC"/>
    <w:rsid w:val="46C140C7"/>
    <w:rsid w:val="47576085"/>
    <w:rsid w:val="479A5EE8"/>
    <w:rsid w:val="47B97E99"/>
    <w:rsid w:val="47BB33BC"/>
    <w:rsid w:val="47C16E0D"/>
    <w:rsid w:val="47DE11C5"/>
    <w:rsid w:val="47F83DF4"/>
    <w:rsid w:val="4801462A"/>
    <w:rsid w:val="48400393"/>
    <w:rsid w:val="48674494"/>
    <w:rsid w:val="48AA228B"/>
    <w:rsid w:val="48B62722"/>
    <w:rsid w:val="48BE0E56"/>
    <w:rsid w:val="48D82BBE"/>
    <w:rsid w:val="48DC6C83"/>
    <w:rsid w:val="48FD0612"/>
    <w:rsid w:val="49001E5E"/>
    <w:rsid w:val="491806FC"/>
    <w:rsid w:val="49217800"/>
    <w:rsid w:val="493408AE"/>
    <w:rsid w:val="493A078B"/>
    <w:rsid w:val="49602C43"/>
    <w:rsid w:val="497F3C24"/>
    <w:rsid w:val="49D81B5C"/>
    <w:rsid w:val="49EA6B4B"/>
    <w:rsid w:val="49F94214"/>
    <w:rsid w:val="4A045027"/>
    <w:rsid w:val="4A1F4EB5"/>
    <w:rsid w:val="4A424F19"/>
    <w:rsid w:val="4A9728A4"/>
    <w:rsid w:val="4A9C40E7"/>
    <w:rsid w:val="4A9F0BC1"/>
    <w:rsid w:val="4ADB76C4"/>
    <w:rsid w:val="4AE637A8"/>
    <w:rsid w:val="4B024E46"/>
    <w:rsid w:val="4B1D1B20"/>
    <w:rsid w:val="4B2064B0"/>
    <w:rsid w:val="4B3F0DD3"/>
    <w:rsid w:val="4B7C7C98"/>
    <w:rsid w:val="4B8C6C0E"/>
    <w:rsid w:val="4B8E46DA"/>
    <w:rsid w:val="4BBC1F08"/>
    <w:rsid w:val="4BD07FBE"/>
    <w:rsid w:val="4BE13E56"/>
    <w:rsid w:val="4BE54907"/>
    <w:rsid w:val="4BFB6888"/>
    <w:rsid w:val="4C0A3C1D"/>
    <w:rsid w:val="4C0D2D63"/>
    <w:rsid w:val="4C161D25"/>
    <w:rsid w:val="4C2F3710"/>
    <w:rsid w:val="4C424E8C"/>
    <w:rsid w:val="4C575F54"/>
    <w:rsid w:val="4C69274A"/>
    <w:rsid w:val="4C755B1F"/>
    <w:rsid w:val="4C9A4A8A"/>
    <w:rsid w:val="4CB06658"/>
    <w:rsid w:val="4CCB46F2"/>
    <w:rsid w:val="4CD264C8"/>
    <w:rsid w:val="4CD31E20"/>
    <w:rsid w:val="4CE30CEC"/>
    <w:rsid w:val="4D003DBE"/>
    <w:rsid w:val="4D0E0AB2"/>
    <w:rsid w:val="4D215D2E"/>
    <w:rsid w:val="4D2E60B3"/>
    <w:rsid w:val="4D381304"/>
    <w:rsid w:val="4D3C1BA8"/>
    <w:rsid w:val="4D9B65DC"/>
    <w:rsid w:val="4DA9413D"/>
    <w:rsid w:val="4DD979DB"/>
    <w:rsid w:val="4DFC6EC9"/>
    <w:rsid w:val="4E0F475B"/>
    <w:rsid w:val="4E2C742B"/>
    <w:rsid w:val="4E2F7332"/>
    <w:rsid w:val="4E3952D6"/>
    <w:rsid w:val="4E682C6C"/>
    <w:rsid w:val="4E787B84"/>
    <w:rsid w:val="4E823560"/>
    <w:rsid w:val="4E882A79"/>
    <w:rsid w:val="4EB306D3"/>
    <w:rsid w:val="4EBE3D04"/>
    <w:rsid w:val="4EC76A1C"/>
    <w:rsid w:val="4EF84412"/>
    <w:rsid w:val="4F125179"/>
    <w:rsid w:val="4F1A62AF"/>
    <w:rsid w:val="4F727BD7"/>
    <w:rsid w:val="4F7F1400"/>
    <w:rsid w:val="4F8444CD"/>
    <w:rsid w:val="4FB5368D"/>
    <w:rsid w:val="4FBF1308"/>
    <w:rsid w:val="4FDA1812"/>
    <w:rsid w:val="4FF26FB6"/>
    <w:rsid w:val="50433291"/>
    <w:rsid w:val="504E1FCB"/>
    <w:rsid w:val="508B6C5A"/>
    <w:rsid w:val="509072D7"/>
    <w:rsid w:val="50D45A6B"/>
    <w:rsid w:val="51514D1E"/>
    <w:rsid w:val="51542485"/>
    <w:rsid w:val="51A04689"/>
    <w:rsid w:val="51BB7069"/>
    <w:rsid w:val="51E74283"/>
    <w:rsid w:val="51EB0463"/>
    <w:rsid w:val="5221340A"/>
    <w:rsid w:val="522D631E"/>
    <w:rsid w:val="526862D8"/>
    <w:rsid w:val="52B07CC0"/>
    <w:rsid w:val="52C82804"/>
    <w:rsid w:val="52D41FDA"/>
    <w:rsid w:val="531A07F8"/>
    <w:rsid w:val="532B0B57"/>
    <w:rsid w:val="5343421C"/>
    <w:rsid w:val="538C15AF"/>
    <w:rsid w:val="53C3226C"/>
    <w:rsid w:val="53CF3860"/>
    <w:rsid w:val="53D53105"/>
    <w:rsid w:val="53E37769"/>
    <w:rsid w:val="53E8238E"/>
    <w:rsid w:val="542A5318"/>
    <w:rsid w:val="547B0177"/>
    <w:rsid w:val="549B7A7F"/>
    <w:rsid w:val="54CA67D3"/>
    <w:rsid w:val="55003FC5"/>
    <w:rsid w:val="550E0216"/>
    <w:rsid w:val="55317527"/>
    <w:rsid w:val="559641A4"/>
    <w:rsid w:val="56003315"/>
    <w:rsid w:val="561A4056"/>
    <w:rsid w:val="561B75A6"/>
    <w:rsid w:val="56401F05"/>
    <w:rsid w:val="568C4A44"/>
    <w:rsid w:val="569F31AF"/>
    <w:rsid w:val="56A61B09"/>
    <w:rsid w:val="56D845FD"/>
    <w:rsid w:val="56E04F89"/>
    <w:rsid w:val="56EE428E"/>
    <w:rsid w:val="57080DAA"/>
    <w:rsid w:val="573E14C6"/>
    <w:rsid w:val="579859B5"/>
    <w:rsid w:val="57C86052"/>
    <w:rsid w:val="57CD2089"/>
    <w:rsid w:val="57D944E8"/>
    <w:rsid w:val="57E53199"/>
    <w:rsid w:val="580F4399"/>
    <w:rsid w:val="582B7C8D"/>
    <w:rsid w:val="58305FA3"/>
    <w:rsid w:val="58D443DE"/>
    <w:rsid w:val="58EB55FB"/>
    <w:rsid w:val="59072324"/>
    <w:rsid w:val="59282FFB"/>
    <w:rsid w:val="593140B6"/>
    <w:rsid w:val="59443EBA"/>
    <w:rsid w:val="594730DF"/>
    <w:rsid w:val="594B25B3"/>
    <w:rsid w:val="594C3E66"/>
    <w:rsid w:val="59912E6B"/>
    <w:rsid w:val="59992389"/>
    <w:rsid w:val="59AB14DB"/>
    <w:rsid w:val="59B41858"/>
    <w:rsid w:val="59B71A49"/>
    <w:rsid w:val="59B97220"/>
    <w:rsid w:val="59E574CA"/>
    <w:rsid w:val="5A0637EA"/>
    <w:rsid w:val="5A690A18"/>
    <w:rsid w:val="5A857834"/>
    <w:rsid w:val="5A932A9C"/>
    <w:rsid w:val="5B017609"/>
    <w:rsid w:val="5B067B03"/>
    <w:rsid w:val="5B14581D"/>
    <w:rsid w:val="5B450E40"/>
    <w:rsid w:val="5B6A0C55"/>
    <w:rsid w:val="5BB100CB"/>
    <w:rsid w:val="5BC04C52"/>
    <w:rsid w:val="5BE17D15"/>
    <w:rsid w:val="5BE608E8"/>
    <w:rsid w:val="5BE62896"/>
    <w:rsid w:val="5BEA66CE"/>
    <w:rsid w:val="5C1924B3"/>
    <w:rsid w:val="5C6801C9"/>
    <w:rsid w:val="5CAA62EA"/>
    <w:rsid w:val="5D0B39B4"/>
    <w:rsid w:val="5D283BE6"/>
    <w:rsid w:val="5D815C76"/>
    <w:rsid w:val="5D8B6954"/>
    <w:rsid w:val="5DBB3B47"/>
    <w:rsid w:val="5DEE741A"/>
    <w:rsid w:val="5E2B7874"/>
    <w:rsid w:val="5E2D7FCC"/>
    <w:rsid w:val="5E3C1E69"/>
    <w:rsid w:val="5EAE5257"/>
    <w:rsid w:val="5EF04C4D"/>
    <w:rsid w:val="5F241735"/>
    <w:rsid w:val="5F4C555B"/>
    <w:rsid w:val="5F874D0B"/>
    <w:rsid w:val="5F9635F2"/>
    <w:rsid w:val="5FC64C0A"/>
    <w:rsid w:val="602E6E28"/>
    <w:rsid w:val="60492360"/>
    <w:rsid w:val="60916383"/>
    <w:rsid w:val="60C72C73"/>
    <w:rsid w:val="61166B78"/>
    <w:rsid w:val="616669AA"/>
    <w:rsid w:val="617378AA"/>
    <w:rsid w:val="617F2B9B"/>
    <w:rsid w:val="61AA3A14"/>
    <w:rsid w:val="61D06899"/>
    <w:rsid w:val="61D851AB"/>
    <w:rsid w:val="6206024F"/>
    <w:rsid w:val="62E14AA1"/>
    <w:rsid w:val="62EE21C2"/>
    <w:rsid w:val="62F329C5"/>
    <w:rsid w:val="631672F3"/>
    <w:rsid w:val="63253392"/>
    <w:rsid w:val="63306AC8"/>
    <w:rsid w:val="633B0152"/>
    <w:rsid w:val="636D0D22"/>
    <w:rsid w:val="63763A79"/>
    <w:rsid w:val="63E716A0"/>
    <w:rsid w:val="641A41C9"/>
    <w:rsid w:val="643A2593"/>
    <w:rsid w:val="64424921"/>
    <w:rsid w:val="64542510"/>
    <w:rsid w:val="645C39D7"/>
    <w:rsid w:val="64615C38"/>
    <w:rsid w:val="646C6753"/>
    <w:rsid w:val="64734AE6"/>
    <w:rsid w:val="649C0ED9"/>
    <w:rsid w:val="64B600A3"/>
    <w:rsid w:val="64B87748"/>
    <w:rsid w:val="64D47246"/>
    <w:rsid w:val="65083F97"/>
    <w:rsid w:val="65180ABD"/>
    <w:rsid w:val="65301C35"/>
    <w:rsid w:val="654D77C7"/>
    <w:rsid w:val="659003F0"/>
    <w:rsid w:val="65B40F6A"/>
    <w:rsid w:val="65FF0EEE"/>
    <w:rsid w:val="661D0FFC"/>
    <w:rsid w:val="661F59F4"/>
    <w:rsid w:val="6633104D"/>
    <w:rsid w:val="663D6F91"/>
    <w:rsid w:val="663F7DA3"/>
    <w:rsid w:val="66671E3B"/>
    <w:rsid w:val="66790A16"/>
    <w:rsid w:val="66827661"/>
    <w:rsid w:val="6689778C"/>
    <w:rsid w:val="668E3C9C"/>
    <w:rsid w:val="66937275"/>
    <w:rsid w:val="66A9308C"/>
    <w:rsid w:val="66B923ED"/>
    <w:rsid w:val="66C745F8"/>
    <w:rsid w:val="66CA166A"/>
    <w:rsid w:val="66DC53B0"/>
    <w:rsid w:val="66DF5B6C"/>
    <w:rsid w:val="66EF1A43"/>
    <w:rsid w:val="6720549B"/>
    <w:rsid w:val="675C2DCA"/>
    <w:rsid w:val="67760E4D"/>
    <w:rsid w:val="67B40571"/>
    <w:rsid w:val="67E10ABE"/>
    <w:rsid w:val="67F321D0"/>
    <w:rsid w:val="68235FEA"/>
    <w:rsid w:val="684F37AD"/>
    <w:rsid w:val="689C3B96"/>
    <w:rsid w:val="690D657E"/>
    <w:rsid w:val="6916232A"/>
    <w:rsid w:val="69305B64"/>
    <w:rsid w:val="693D21F2"/>
    <w:rsid w:val="6943013F"/>
    <w:rsid w:val="69683DA6"/>
    <w:rsid w:val="696B595D"/>
    <w:rsid w:val="698112F0"/>
    <w:rsid w:val="699D6C67"/>
    <w:rsid w:val="69AA4A11"/>
    <w:rsid w:val="69B12712"/>
    <w:rsid w:val="69F8240B"/>
    <w:rsid w:val="6A4B4BD6"/>
    <w:rsid w:val="6AAE3967"/>
    <w:rsid w:val="6AAE6863"/>
    <w:rsid w:val="6AB067A2"/>
    <w:rsid w:val="6ADB7E21"/>
    <w:rsid w:val="6AED45A9"/>
    <w:rsid w:val="6B070F3B"/>
    <w:rsid w:val="6B1E09A9"/>
    <w:rsid w:val="6B3F54AD"/>
    <w:rsid w:val="6B4868B2"/>
    <w:rsid w:val="6B4C1BBC"/>
    <w:rsid w:val="6B644B4D"/>
    <w:rsid w:val="6B6A2B79"/>
    <w:rsid w:val="6B6B77CC"/>
    <w:rsid w:val="6B9B753F"/>
    <w:rsid w:val="6B9E63AC"/>
    <w:rsid w:val="6BB50693"/>
    <w:rsid w:val="6BBE3DF4"/>
    <w:rsid w:val="6BC7362F"/>
    <w:rsid w:val="6BCC65B4"/>
    <w:rsid w:val="6BEB59B5"/>
    <w:rsid w:val="6C607C7A"/>
    <w:rsid w:val="6C6F1BB6"/>
    <w:rsid w:val="6C703B1F"/>
    <w:rsid w:val="6CB5491C"/>
    <w:rsid w:val="6CF65895"/>
    <w:rsid w:val="6D331DAE"/>
    <w:rsid w:val="6D3B0309"/>
    <w:rsid w:val="6D4C1D9A"/>
    <w:rsid w:val="6D85777D"/>
    <w:rsid w:val="6DA43491"/>
    <w:rsid w:val="6DA47DC6"/>
    <w:rsid w:val="6DAA263F"/>
    <w:rsid w:val="6DFE16C0"/>
    <w:rsid w:val="6E093AE3"/>
    <w:rsid w:val="6E1C72AA"/>
    <w:rsid w:val="6E5E7EEC"/>
    <w:rsid w:val="6E9E3E2B"/>
    <w:rsid w:val="6EE92D35"/>
    <w:rsid w:val="6F0B3704"/>
    <w:rsid w:val="6F1D7C8C"/>
    <w:rsid w:val="6F1F3692"/>
    <w:rsid w:val="6F7362BA"/>
    <w:rsid w:val="6FA00B09"/>
    <w:rsid w:val="6FA533CE"/>
    <w:rsid w:val="6FCA4F91"/>
    <w:rsid w:val="6FD22283"/>
    <w:rsid w:val="6FE02BC2"/>
    <w:rsid w:val="70142133"/>
    <w:rsid w:val="70146EC8"/>
    <w:rsid w:val="70637D68"/>
    <w:rsid w:val="70654190"/>
    <w:rsid w:val="709446BD"/>
    <w:rsid w:val="70C178DB"/>
    <w:rsid w:val="70C35B48"/>
    <w:rsid w:val="71290D1D"/>
    <w:rsid w:val="717D5A20"/>
    <w:rsid w:val="71836B17"/>
    <w:rsid w:val="719E3C1E"/>
    <w:rsid w:val="71AD7F27"/>
    <w:rsid w:val="71B51D53"/>
    <w:rsid w:val="71B86532"/>
    <w:rsid w:val="721456FC"/>
    <w:rsid w:val="7231272B"/>
    <w:rsid w:val="724A742F"/>
    <w:rsid w:val="724F696D"/>
    <w:rsid w:val="72657412"/>
    <w:rsid w:val="726E0125"/>
    <w:rsid w:val="728602B5"/>
    <w:rsid w:val="72A362E4"/>
    <w:rsid w:val="72AD476A"/>
    <w:rsid w:val="72C575CC"/>
    <w:rsid w:val="731316CC"/>
    <w:rsid w:val="731832C3"/>
    <w:rsid w:val="732476AC"/>
    <w:rsid w:val="733D6C5B"/>
    <w:rsid w:val="73426DFD"/>
    <w:rsid w:val="73427B0E"/>
    <w:rsid w:val="734359D5"/>
    <w:rsid w:val="734730B5"/>
    <w:rsid w:val="73960269"/>
    <w:rsid w:val="739E22F8"/>
    <w:rsid w:val="742D4DA3"/>
    <w:rsid w:val="743021D2"/>
    <w:rsid w:val="745C1397"/>
    <w:rsid w:val="74BC2628"/>
    <w:rsid w:val="74D93ED1"/>
    <w:rsid w:val="74ED1EF0"/>
    <w:rsid w:val="74FE3C3F"/>
    <w:rsid w:val="7518387B"/>
    <w:rsid w:val="751C3C9F"/>
    <w:rsid w:val="75205BC0"/>
    <w:rsid w:val="75253ABF"/>
    <w:rsid w:val="75373FFD"/>
    <w:rsid w:val="75382C38"/>
    <w:rsid w:val="755B6F84"/>
    <w:rsid w:val="75631FB0"/>
    <w:rsid w:val="75DD0AD1"/>
    <w:rsid w:val="75EE3BF7"/>
    <w:rsid w:val="766F017D"/>
    <w:rsid w:val="767514C2"/>
    <w:rsid w:val="76891462"/>
    <w:rsid w:val="76C4268E"/>
    <w:rsid w:val="76D20522"/>
    <w:rsid w:val="76EA1955"/>
    <w:rsid w:val="770E08FF"/>
    <w:rsid w:val="770F558A"/>
    <w:rsid w:val="77623D4D"/>
    <w:rsid w:val="77B10C0F"/>
    <w:rsid w:val="77B73E89"/>
    <w:rsid w:val="77BD6850"/>
    <w:rsid w:val="77D023F0"/>
    <w:rsid w:val="77E60700"/>
    <w:rsid w:val="77E616C0"/>
    <w:rsid w:val="77E762C0"/>
    <w:rsid w:val="77FC4F4B"/>
    <w:rsid w:val="781A33DA"/>
    <w:rsid w:val="783D4525"/>
    <w:rsid w:val="78473AEE"/>
    <w:rsid w:val="78491E93"/>
    <w:rsid w:val="78C24D19"/>
    <w:rsid w:val="78CB0E1F"/>
    <w:rsid w:val="78D13FDA"/>
    <w:rsid w:val="79185098"/>
    <w:rsid w:val="79607590"/>
    <w:rsid w:val="79A956E8"/>
    <w:rsid w:val="79D3340D"/>
    <w:rsid w:val="79DF1E58"/>
    <w:rsid w:val="7A007801"/>
    <w:rsid w:val="7A070665"/>
    <w:rsid w:val="7A3B202E"/>
    <w:rsid w:val="7A561DDD"/>
    <w:rsid w:val="7A586A1B"/>
    <w:rsid w:val="7A623AC7"/>
    <w:rsid w:val="7A844AF8"/>
    <w:rsid w:val="7A9F5407"/>
    <w:rsid w:val="7AA33B1E"/>
    <w:rsid w:val="7ACF08BC"/>
    <w:rsid w:val="7AFA4D2B"/>
    <w:rsid w:val="7B02547E"/>
    <w:rsid w:val="7B2E11AA"/>
    <w:rsid w:val="7B564834"/>
    <w:rsid w:val="7B5C2F3D"/>
    <w:rsid w:val="7B5D2FCE"/>
    <w:rsid w:val="7B6755DA"/>
    <w:rsid w:val="7B9E6857"/>
    <w:rsid w:val="7BD9383E"/>
    <w:rsid w:val="7C175907"/>
    <w:rsid w:val="7C347D18"/>
    <w:rsid w:val="7C36132C"/>
    <w:rsid w:val="7C510914"/>
    <w:rsid w:val="7C786A83"/>
    <w:rsid w:val="7C8E4D72"/>
    <w:rsid w:val="7C960D95"/>
    <w:rsid w:val="7C991650"/>
    <w:rsid w:val="7CA7624C"/>
    <w:rsid w:val="7CCA1184"/>
    <w:rsid w:val="7CCA146A"/>
    <w:rsid w:val="7CCB1E70"/>
    <w:rsid w:val="7CD1448D"/>
    <w:rsid w:val="7CDA64EC"/>
    <w:rsid w:val="7CE97CFD"/>
    <w:rsid w:val="7CEE3241"/>
    <w:rsid w:val="7D005642"/>
    <w:rsid w:val="7D024F51"/>
    <w:rsid w:val="7D27595F"/>
    <w:rsid w:val="7D4B7EBC"/>
    <w:rsid w:val="7D54186A"/>
    <w:rsid w:val="7D625E83"/>
    <w:rsid w:val="7D796C4C"/>
    <w:rsid w:val="7DA1727D"/>
    <w:rsid w:val="7DB13FFC"/>
    <w:rsid w:val="7DFE147A"/>
    <w:rsid w:val="7DFF2EF1"/>
    <w:rsid w:val="7E0806FB"/>
    <w:rsid w:val="7E0B0D82"/>
    <w:rsid w:val="7E0B6A42"/>
    <w:rsid w:val="7E471C13"/>
    <w:rsid w:val="7E61558C"/>
    <w:rsid w:val="7E7E600F"/>
    <w:rsid w:val="7E81400A"/>
    <w:rsid w:val="7E815F56"/>
    <w:rsid w:val="7EA35402"/>
    <w:rsid w:val="7EAF19AB"/>
    <w:rsid w:val="7EC86DAF"/>
    <w:rsid w:val="7EC941C9"/>
    <w:rsid w:val="7EFB1670"/>
    <w:rsid w:val="7F224767"/>
    <w:rsid w:val="7F6233A6"/>
    <w:rsid w:val="7F682353"/>
    <w:rsid w:val="7F892326"/>
    <w:rsid w:val="7F8B1F2E"/>
    <w:rsid w:val="7F9F4CA1"/>
    <w:rsid w:val="7FA021FE"/>
    <w:rsid w:val="7FAE03E1"/>
    <w:rsid w:val="7FD97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20" w:lineRule="exact"/>
      <w:ind w:firstLine="600" w:firstLineChars="200"/>
      <w:jc w:val="both"/>
    </w:pPr>
    <w:rPr>
      <w:rFonts w:ascii="Times New Roman" w:hAnsi="Times New Roman" w:eastAsia="方正仿宋_GBK" w:cs="方正仿宋_GBK"/>
      <w:kern w:val="2"/>
      <w:sz w:val="32"/>
      <w:szCs w:val="22"/>
      <w:lang w:val="en-US" w:eastAsia="zh-CN" w:bidi="ar-SA"/>
    </w:rPr>
  </w:style>
  <w:style w:type="paragraph" w:styleId="5">
    <w:name w:val="heading 1"/>
    <w:basedOn w:val="1"/>
    <w:next w:val="1"/>
    <w:qFormat/>
    <w:uiPriority w:val="0"/>
    <w:pPr>
      <w:keepNext/>
      <w:keepLines/>
      <w:spacing w:beforeLines="0" w:beforeAutospacing="0" w:afterLines="0" w:afterAutospacing="0" w:line="620" w:lineRule="exact"/>
      <w:outlineLvl w:val="0"/>
    </w:pPr>
    <w:rPr>
      <w:rFonts w:ascii="黑体" w:hAnsi="黑体" w:eastAsia="方正黑体_GBK"/>
      <w:kern w:val="44"/>
    </w:rPr>
  </w:style>
  <w:style w:type="paragraph" w:styleId="6">
    <w:name w:val="heading 2"/>
    <w:basedOn w:val="1"/>
    <w:next w:val="1"/>
    <w:qFormat/>
    <w:uiPriority w:val="1"/>
    <w:pPr>
      <w:spacing w:line="620" w:lineRule="exact"/>
      <w:ind w:left="0"/>
      <w:outlineLvl w:val="1"/>
    </w:pPr>
    <w:rPr>
      <w:rFonts w:ascii="方正楷体_GBK" w:hAnsi="方正楷体_GBK" w:eastAsia="方正楷体_GBK" w:cs="方正楷体_GBK"/>
      <w:b/>
      <w:bCs/>
      <w:szCs w:val="32"/>
      <w:lang w:val="zh-CN" w:bidi="zh-CN"/>
    </w:rPr>
  </w:style>
  <w:style w:type="paragraph" w:styleId="7">
    <w:name w:val="heading 3"/>
    <w:basedOn w:val="1"/>
    <w:next w:val="1"/>
    <w:link w:val="39"/>
    <w:unhideWhenUsed/>
    <w:qFormat/>
    <w:uiPriority w:val="0"/>
    <w:pPr>
      <w:keepNext/>
      <w:keepLines/>
      <w:spacing w:beforeLines="0" w:beforeAutospacing="0" w:afterLines="0" w:afterAutospacing="0" w:line="620" w:lineRule="exact"/>
      <w:outlineLvl w:val="2"/>
    </w:pPr>
    <w:rPr>
      <w:rFonts w:ascii="Times New Roman" w:hAnsi="Times New Roman" w:eastAsia="方正仿宋简体"/>
      <w:b/>
      <w:szCs w:val="32"/>
    </w:rPr>
  </w:style>
  <w:style w:type="paragraph" w:styleId="8">
    <w:name w:val="heading 4"/>
    <w:basedOn w:val="1"/>
    <w:next w:val="1"/>
    <w:link w:val="40"/>
    <w:unhideWhenUsed/>
    <w:qFormat/>
    <w:uiPriority w:val="0"/>
    <w:pPr>
      <w:keepNext/>
      <w:keepLines/>
      <w:spacing w:beforeLines="0" w:beforeAutospacing="0" w:afterLines="0" w:afterAutospacing="0" w:line="620" w:lineRule="exact"/>
      <w:outlineLvl w:val="3"/>
    </w:pPr>
    <w:rPr>
      <w:rFonts w:ascii="方正小标宋简体" w:hAnsi="方正小标宋简体" w:eastAsia="方正小标宋简体"/>
      <w:sz w:val="40"/>
      <w:szCs w:val="40"/>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4"/>
    <w:qFormat/>
    <w:uiPriority w:val="0"/>
    <w:pPr>
      <w:shd w:val="clear" w:color="auto" w:fill="FFFFFF"/>
      <w:spacing w:line="595" w:lineRule="exact"/>
      <w:ind w:firstLine="200" w:firstLineChars="200"/>
      <w:jc w:val="distribute"/>
    </w:pPr>
    <w:rPr>
      <w:sz w:val="20"/>
      <w:szCs w:val="20"/>
    </w:rPr>
  </w:style>
  <w:style w:type="paragraph" w:styleId="3">
    <w:name w:val="Body Text"/>
    <w:basedOn w:val="1"/>
    <w:link w:val="25"/>
    <w:qFormat/>
    <w:uiPriority w:val="1"/>
    <w:rPr>
      <w:szCs w:val="32"/>
      <w:lang w:val="zh-CN" w:bidi="zh-CN"/>
    </w:rPr>
  </w:style>
  <w:style w:type="paragraph" w:styleId="4">
    <w:name w:val="footer"/>
    <w:basedOn w:val="1"/>
    <w:next w:val="1"/>
    <w:qFormat/>
    <w:uiPriority w:val="0"/>
    <w:pPr>
      <w:tabs>
        <w:tab w:val="center" w:pos="4153"/>
        <w:tab w:val="right" w:pos="8306"/>
      </w:tabs>
      <w:snapToGrid w:val="0"/>
      <w:ind w:firstLine="0" w:firstLineChars="0"/>
      <w:jc w:val="center"/>
    </w:pPr>
    <w:rPr>
      <w:rFonts w:ascii="Times New Roman" w:hAnsi="Times New Roman" w:eastAsia="宋体"/>
      <w:sz w:val="28"/>
    </w:rPr>
  </w:style>
  <w:style w:type="paragraph" w:styleId="9">
    <w:name w:val="annotation text"/>
    <w:basedOn w:val="1"/>
    <w:link w:val="28"/>
    <w:unhideWhenUsed/>
    <w:qFormat/>
    <w:uiPriority w:val="99"/>
    <w:rPr>
      <w:rFonts w:ascii="Calibri" w:hAnsi="Calibri" w:cs="Times New Roman"/>
      <w:kern w:val="0"/>
      <w:sz w:val="20"/>
      <w:szCs w:val="20"/>
    </w:rPr>
  </w:style>
  <w:style w:type="paragraph" w:styleId="10">
    <w:name w:val="toc 3"/>
    <w:basedOn w:val="1"/>
    <w:next w:val="1"/>
    <w:qFormat/>
    <w:uiPriority w:val="0"/>
    <w:pPr>
      <w:ind w:left="840" w:leftChars="400"/>
    </w:p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unhideWhenUsed/>
    <w:qFormat/>
    <w:uiPriority w:val="39"/>
    <w:pPr>
      <w:spacing w:line="620" w:lineRule="exact"/>
      <w:ind w:firstLine="0" w:firstLineChars="0"/>
      <w:jc w:val="left"/>
    </w:pPr>
    <w:rPr>
      <w:rFonts w:ascii="Times New Roman" w:hAnsi="Times New Roman"/>
      <w:b/>
      <w:caps/>
      <w:szCs w:val="32"/>
    </w:rPr>
  </w:style>
  <w:style w:type="paragraph" w:styleId="13">
    <w:name w:val="toc 2"/>
    <w:basedOn w:val="1"/>
    <w:next w:val="1"/>
    <w:qFormat/>
    <w:uiPriority w:val="0"/>
    <w:pPr>
      <w:spacing w:line="620" w:lineRule="exact"/>
      <w:ind w:left="0" w:leftChars="0" w:firstLine="800" w:firstLineChars="200"/>
    </w:pPr>
    <w:rPr>
      <w:rFonts w:ascii="Times New Roman" w:hAnsi="Times New Roman"/>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bCs/>
    </w:rPr>
  </w:style>
  <w:style w:type="character" w:styleId="19">
    <w:name w:val="Hyperlink"/>
    <w:basedOn w:val="17"/>
    <w:qFormat/>
    <w:uiPriority w:val="0"/>
    <w:rPr>
      <w:color w:val="0000FF"/>
      <w:u w:val="single"/>
    </w:rPr>
  </w:style>
  <w:style w:type="paragraph" w:customStyle="1" w:styleId="20">
    <w:name w:val="_Style 1"/>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qFormat/>
    <w:uiPriority w:val="1"/>
    <w:pPr>
      <w:ind w:left="1002" w:hanging="243"/>
    </w:pPr>
    <w:rPr>
      <w:rFonts w:ascii="仿宋_GB2312" w:hAnsi="仿宋_GB2312" w:eastAsia="仿宋_GB2312" w:cs="仿宋_GB2312"/>
      <w:lang w:val="zh-CN" w:eastAsia="zh-CN" w:bidi="zh-CN"/>
    </w:rPr>
  </w:style>
  <w:style w:type="paragraph" w:customStyle="1" w:styleId="22">
    <w:name w:val="Table Paragraph"/>
    <w:basedOn w:val="1"/>
    <w:qFormat/>
    <w:uiPriority w:val="1"/>
    <w:rPr>
      <w:rFonts w:ascii="宋体" w:hAnsi="宋体" w:eastAsia="宋体" w:cs="宋体"/>
      <w:lang w:val="zh-CN" w:eastAsia="zh-CN" w:bidi="zh-CN"/>
    </w:rPr>
  </w:style>
  <w:style w:type="paragraph" w:customStyle="1" w:styleId="23">
    <w:name w:val="闻政-正文段落文字"/>
    <w:basedOn w:val="1"/>
    <w:qFormat/>
    <w:uiPriority w:val="3"/>
    <w:pPr>
      <w:spacing w:line="500" w:lineRule="exact"/>
      <w:ind w:firstLine="200"/>
    </w:pPr>
    <w:rPr>
      <w:rFonts w:ascii="Times New Roman" w:hAnsi="Times New Roman" w:cs="Times New Roman"/>
      <w:kern w:val="0"/>
      <w:szCs w:val="28"/>
    </w:rPr>
  </w:style>
  <w:style w:type="paragraph" w:customStyle="1" w:styleId="24">
    <w:name w:val="闻政正文"/>
    <w:basedOn w:val="1"/>
    <w:qFormat/>
    <w:uiPriority w:val="99"/>
    <w:pPr>
      <w:spacing w:line="500" w:lineRule="exact"/>
      <w:ind w:firstLine="560" w:firstLineChars="200"/>
    </w:pPr>
    <w:rPr>
      <w:rFonts w:ascii="Times New Roman" w:hAnsi="Times New Roman" w:eastAsia="仿宋_GB2312"/>
      <w:kern w:val="0"/>
      <w:sz w:val="28"/>
      <w:szCs w:val="28"/>
    </w:rPr>
  </w:style>
  <w:style w:type="character" w:customStyle="1" w:styleId="25">
    <w:name w:val="正文文本 Char"/>
    <w:link w:val="3"/>
    <w:qFormat/>
    <w:uiPriority w:val="1"/>
    <w:rPr>
      <w:rFonts w:ascii="方正仿宋_GBK" w:hAnsi="方正仿宋_GBK" w:eastAsia="方正仿宋_GBK" w:cs="方正仿宋_GBK"/>
      <w:sz w:val="32"/>
      <w:szCs w:val="32"/>
      <w:lang w:val="zh-CN" w:eastAsia="zh-CN" w:bidi="zh-CN"/>
    </w:rPr>
  </w:style>
  <w:style w:type="paragraph" w:customStyle="1" w:styleId="26">
    <w:name w:val="闻政-正文一级标题"/>
    <w:basedOn w:val="7"/>
    <w:next w:val="23"/>
    <w:qFormat/>
    <w:uiPriority w:val="3"/>
    <w:pPr>
      <w:spacing w:line="620" w:lineRule="exact"/>
      <w:ind w:firstLine="800" w:firstLineChars="200"/>
      <w:outlineLvl w:val="3"/>
    </w:pPr>
    <w:rPr>
      <w:rFonts w:ascii="方正黑体_GBK" w:hAnsi="方正黑体_GBK" w:eastAsia="方正黑体_GBK" w:cs="方正黑体_GBK"/>
      <w:b w:val="0"/>
    </w:rPr>
  </w:style>
  <w:style w:type="paragraph" w:customStyle="1" w:styleId="27">
    <w:name w:val="闻政-正文二级标题"/>
    <w:basedOn w:val="6"/>
    <w:next w:val="23"/>
    <w:qFormat/>
    <w:uiPriority w:val="3"/>
    <w:pPr>
      <w:spacing w:before="120" w:after="60" w:line="500" w:lineRule="exact"/>
      <w:ind w:left="200" w:leftChars="200" w:firstLine="0" w:firstLineChars="0"/>
    </w:pPr>
    <w:rPr>
      <w:rFonts w:ascii="Times New Roman" w:hAnsi="Times New Roman"/>
      <w:sz w:val="28"/>
    </w:rPr>
  </w:style>
  <w:style w:type="character" w:customStyle="1" w:styleId="28">
    <w:name w:val="批注文字 字符"/>
    <w:basedOn w:val="17"/>
    <w:link w:val="9"/>
    <w:qFormat/>
    <w:uiPriority w:val="0"/>
    <w:rPr>
      <w:rFonts w:hint="default" w:ascii="Calibri" w:hAnsi="Calibri" w:eastAsia="仿宋_GB2312" w:cs="Calibri"/>
      <w:lang w:bidi="ar"/>
    </w:rPr>
  </w:style>
  <w:style w:type="paragraph" w:customStyle="1" w:styleId="29">
    <w:name w:val="FZ表格标题行首列"/>
    <w:basedOn w:val="1"/>
    <w:qFormat/>
    <w:uiPriority w:val="0"/>
    <w:pPr>
      <w:snapToGrid w:val="0"/>
      <w:spacing w:before="10" w:after="10"/>
      <w:ind w:left="1" w:leftChars="1" w:right="1" w:rightChars="1" w:firstLine="74" w:firstLineChars="50"/>
      <w:jc w:val="left"/>
    </w:pPr>
    <w:rPr>
      <w:rFonts w:ascii="宋体" w:hAnsi="宋体" w:eastAsia="宋体"/>
      <w:color w:val="000000"/>
      <w:sz w:val="18"/>
    </w:rPr>
  </w:style>
  <w:style w:type="paragraph" w:customStyle="1" w:styleId="30">
    <w:name w:val="FZ表格标题行"/>
    <w:basedOn w:val="1"/>
    <w:qFormat/>
    <w:uiPriority w:val="0"/>
    <w:pPr>
      <w:snapToGrid w:val="0"/>
      <w:spacing w:before="10" w:after="10"/>
      <w:ind w:left="1" w:leftChars="1" w:right="1" w:rightChars="1" w:firstLine="74" w:firstLineChars="74"/>
      <w:jc w:val="center"/>
    </w:pPr>
    <w:rPr>
      <w:rFonts w:ascii="宋体" w:hAnsi="宋体" w:eastAsia="宋体"/>
      <w:color w:val="000000"/>
      <w:sz w:val="18"/>
    </w:rPr>
  </w:style>
  <w:style w:type="paragraph" w:customStyle="1" w:styleId="31">
    <w:name w:val="FZ标题3"/>
    <w:basedOn w:val="7"/>
    <w:qFormat/>
    <w:uiPriority w:val="0"/>
    <w:pPr>
      <w:keepNext w:val="0"/>
      <w:keepLines w:val="0"/>
      <w:snapToGrid w:val="0"/>
      <w:spacing w:before="0" w:after="0" w:line="560" w:lineRule="exact"/>
      <w:ind w:left="1" w:leftChars="1" w:right="1" w:rightChars="1" w:firstLine="200" w:firstLineChars="200"/>
      <w:jc w:val="left"/>
    </w:pPr>
    <w:rPr>
      <w:rFonts w:ascii="宋体" w:hAnsi="宋体" w:eastAsia="仿宋_GB2312" w:cstheme="majorBidi"/>
      <w:color w:val="000000"/>
      <w:sz w:val="28"/>
    </w:rPr>
  </w:style>
  <w:style w:type="paragraph" w:customStyle="1" w:styleId="32">
    <w:name w:val="FZ正文"/>
    <w:basedOn w:val="1"/>
    <w:qFormat/>
    <w:uiPriority w:val="0"/>
    <w:pPr>
      <w:snapToGrid w:val="0"/>
      <w:spacing w:line="240" w:lineRule="exact"/>
      <w:ind w:left="0" w:leftChars="0" w:right="0" w:rightChars="0" w:firstLine="0" w:firstLineChars="0"/>
      <w:jc w:val="left"/>
    </w:pPr>
    <w:rPr>
      <w:rFonts w:ascii="Times New Roman" w:hAnsi="Times New Roman" w:eastAsia="宋体" w:cs="Times New Roman"/>
      <w:color w:val="000000"/>
      <w:sz w:val="20"/>
    </w:rPr>
  </w:style>
  <w:style w:type="paragraph" w:customStyle="1" w:styleId="33">
    <w:name w:val="FZ副标题"/>
    <w:basedOn w:val="1"/>
    <w:qFormat/>
    <w:uiPriority w:val="0"/>
    <w:pPr>
      <w:snapToGrid w:val="0"/>
      <w:spacing w:beforeLines="50"/>
      <w:ind w:left="1" w:leftChars="1" w:right="1" w:rightChars="1" w:firstLine="1" w:firstLineChars="1"/>
      <w:jc w:val="center"/>
    </w:pPr>
    <w:rPr>
      <w:rFonts w:ascii="宋体" w:hAnsi="宋体" w:eastAsia="仿宋_GB2312"/>
      <w:color w:val="000000"/>
      <w:sz w:val="28"/>
    </w:rPr>
  </w:style>
  <w:style w:type="paragraph" w:customStyle="1" w:styleId="34">
    <w:name w:val="FZ表格正文行首列"/>
    <w:basedOn w:val="1"/>
    <w:qFormat/>
    <w:uiPriority w:val="0"/>
    <w:pPr>
      <w:snapToGrid w:val="0"/>
      <w:spacing w:before="10" w:after="10"/>
      <w:ind w:left="1" w:leftChars="1" w:right="1" w:rightChars="1" w:firstLine="50" w:firstLineChars="50"/>
      <w:jc w:val="left"/>
    </w:pPr>
    <w:rPr>
      <w:rFonts w:ascii="宋体" w:hAnsi="宋体" w:eastAsia="宋体"/>
      <w:color w:val="000000"/>
      <w:sz w:val="18"/>
    </w:rPr>
  </w:style>
  <w:style w:type="paragraph" w:customStyle="1" w:styleId="35">
    <w:name w:val="FZ表格正文行"/>
    <w:basedOn w:val="1"/>
    <w:qFormat/>
    <w:uiPriority w:val="0"/>
    <w:pPr>
      <w:snapToGrid w:val="0"/>
      <w:spacing w:before="10" w:after="10"/>
      <w:ind w:left="1" w:leftChars="1" w:right="1" w:rightChars="50" w:firstLine="74" w:firstLineChars="50"/>
      <w:jc w:val="right"/>
    </w:pPr>
    <w:rPr>
      <w:rFonts w:ascii="Times New Roman" w:hAnsi="Times New Roman" w:eastAsia="宋体"/>
      <w:color w:val="000000"/>
      <w:sz w:val="18"/>
    </w:rPr>
  </w:style>
  <w:style w:type="table" w:customStyle="1" w:styleId="36">
    <w:name w:val="表格样式1"/>
    <w:qFormat/>
    <w:uiPriority w:val="0"/>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spacing w:line="360" w:lineRule="auto"/>
      <w:ind w:leftChars="0" w:firstLine="442" w:firstLineChars="100"/>
    </w:pPr>
    <w:rPr>
      <w:rFonts w:ascii="Times New Roman" w:hAnsi="Times New Roman" w:eastAsia="宋体" w:cs="Times New Roman"/>
      <w:sz w:val="20"/>
      <w:szCs w:val="20"/>
    </w:rPr>
  </w:style>
  <w:style w:type="character" w:customStyle="1" w:styleId="39">
    <w:name w:val="标题 3 Char"/>
    <w:link w:val="7"/>
    <w:qFormat/>
    <w:uiPriority w:val="0"/>
    <w:rPr>
      <w:rFonts w:ascii="Times New Roman" w:hAnsi="Times New Roman" w:eastAsia="方正仿宋简体"/>
      <w:b/>
      <w:szCs w:val="32"/>
    </w:rPr>
  </w:style>
  <w:style w:type="character" w:customStyle="1" w:styleId="40">
    <w:name w:val="标题 4 Char"/>
    <w:link w:val="8"/>
    <w:qFormat/>
    <w:uiPriority w:val="0"/>
    <w:rPr>
      <w:rFonts w:ascii="方正小标宋简体" w:hAnsi="方正小标宋简体" w:eastAsia="方正小标宋简体"/>
      <w:sz w:val="40"/>
      <w:szCs w:val="4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4f7642d9-a169-4a49-b801-b91d788d5123</errorID>
      <errorWord>养老参保</errorWord>
      <group>L1_Word</group>
      <groupName>字词问题</groupName>
      <ability>L2_Typo</ability>
      <abilityName>字词错误</abilityName>
      <candidateList>
        <item>养老保险参保</item>
      </candidateList>
      <explain/>
      <paraID> BC6644E</paraID>
      <start>3</start>
      <end>7</end>
      <status>ignored</status>
      <modifiedWord/>
      <trackRevisions>false</trackRevisions>
    </reviewItem>
    <reviewItem>
      <errorID>bd7de88a-18c8-4664-99a0-4c2b8ebd166b</errorID>
      <errorWord>老</errorWord>
      <group>L1_Word</group>
      <groupName>字词问题</groupName>
      <ability>L2_Typo</ability>
      <abilityName>字词错误</abilityName>
      <candidateList>
        <item>老年</item>
      </candidateList>
      <explain/>
      <paraID>3ED3F0DC</paraID>
      <start>164</start>
      <end>166</end>
      <status>modified</status>
      <modifiedWord>老年</modifiedWord>
      <trackRevisions>false</trackRevisions>
    </reviewItem>
    <reviewItem>
      <errorID>4f7642d9-a169-4a49-b801-b91d788d5123</errorID>
      <errorWord>养老参保</errorWord>
      <group>L1_Word</group>
      <groupName>字词问题</groupName>
      <ability>L2_Typo</ability>
      <abilityName>字词错误</abilityName>
      <candidateList>
        <item>养老保险参保</item>
      </candidateList>
      <explain/>
      <paraID>405C7388</paraID>
      <start>3</start>
      <end>7</end>
      <status>ignored</status>
      <modifiedWord/>
      <trackRevisions>false</trackRevisions>
    </reviewItem>
    <reviewItem>
      <errorID>f48dcca1-9639-4876-b79c-ce54ab67fd48</errorID>
      <errorWord>养老参保</errorWord>
      <group>L1_Word</group>
      <groupName>字词问题</groupName>
      <ability>L2_Typo</ability>
      <abilityName>字词错误</abilityName>
      <candidateList>
        <item>养老保险参保</item>
      </candidateList>
      <explain/>
      <paraID>540AE1CC</paraID>
      <start>2</start>
      <end>6</end>
      <status>ignored</status>
      <modifiedWord/>
      <trackRevisions>false</trackRevisions>
    </reviewItem>
    <reviewItem>
      <errorID>5dc50d9a-9747-4564-94cc-e2cf39c621cd</errorID>
      <errorWord>企业职工养老保险</errorWord>
      <group>L1_Political</group>
      <groupName>政治性问题</groupName>
      <ability>L2_Keyword</ability>
      <abilityName>固定表述</abilityName>
      <candidateList>
        <item>企业职工基本养老保险</item>
      </candidateList>
      <explain>词汇“企业职工基本养老保险”在特定场景下为固定表述形式，请确认此处的“企业职工养老保险”是否存在不当。</explain>
      <paraID> D99377A</paraID>
      <start>674</start>
      <end>684</end>
      <status>modified</status>
      <modifiedWord>企业职工基本养老保险</modifiedWord>
      <trackRevisions>false</trackRevisions>
    </reviewItem>
    <reviewItem>
      <errorID>307e1ae5-a2fd-403d-b5cc-f3a5a504d421</errorID>
      <errorWord>企业职工养老保险</errorWord>
      <group>L1_Political</group>
      <groupName>政治性问题</groupName>
      <ability>L2_Keyword</ability>
      <abilityName>固定表述</abilityName>
      <candidateList>
        <item>企业职工基本养老保险</item>
      </candidateList>
      <explain>词汇“企业职工基本养老保险”在特定场景下为固定表述形式，请确认此处的“企业职工养老保险”是否存在不当。</explain>
      <paraID> D99377A</paraID>
      <start>730</start>
      <end>740</end>
      <status>modified</status>
      <modifiedWord>企业职工基本养老保险</modifiedWord>
      <trackRevisions>false</trackRevisions>
    </reviewItem>
    <reviewItem>
      <errorID>22fdada8-c5f3-4468-be51-fa7d5d848fc7</errorID>
      <errorWord>与</errorWord>
      <group>L1_Word</group>
      <groupName>字词问题</groupName>
      <ability>L2_Typo</ability>
      <abilityName>字词错误</abilityName>
      <candidateList>
        <item>与各</item>
      </candidateList>
      <explain/>
      <paraID>3A000A5B</paraID>
      <start>194</start>
      <end>196</end>
      <status>modified</status>
      <modifiedWord>与各</modifiedWord>
      <trackRevisions>false</trackRevisions>
    </reviewItem>
    <reviewItem>
      <errorID>8c70d232-0315-432a-b3ed-c9a011c04c8b</errorID>
      <errorWord>，</errorWord>
      <group>L1_Word</group>
      <groupName>字词问题</groupName>
      <ability>L2_Typo</ability>
      <abilityName>字词错误</abilityName>
      <candidateList>
        <item>，经</item>
      </candidateList>
      <explain/>
      <paraID>3A000A5B</paraID>
      <start>254</start>
      <end>256</end>
      <status>modified</status>
      <modifiedWord>，经</modifiedWord>
      <trackRevisions>false</trackRevisions>
    </reviewItem>
    <reviewItem>
      <errorID>36ac2a64-6181-4b30-ae05-c6851dba8734</errorID>
      <errorWord>位</errorWord>
      <group>L1_Word</group>
      <groupName>字词问题</groupName>
      <ability>L2_Typo</ability>
      <abilityName>字词错误</abilityName>
      <candidateList>
        <item>位在</item>
      </candidateList>
      <explain/>
      <paraID>65AE0CC3</paraID>
      <start>81</start>
      <end>83</end>
      <status>modified</status>
      <modifiedWord>位在</modifiedWord>
      <trackRevisions>false</trackRevisions>
    </reviewItem>
    <reviewItem>
      <errorID>b418cee0-103b-44f7-a2ea-4b13d3c74f6f</errorID>
      <errorWord>位</errorWord>
      <group>L1_Word</group>
      <groupName>字词问题</groupName>
      <ability>L2_Typo</ability>
      <abilityName>字词错误</abilityName>
      <candidateList>
        <item>位在</item>
      </candidateList>
      <explain/>
      <paraID>360213B3</paraID>
      <start>81</start>
      <end>83</end>
      <status>modified</status>
      <modifiedWord>位在</modifiedWord>
      <trackRevisions>false</trackRevisions>
    </reviewItem>
    <reviewItem>
      <errorID>f3b1aae6-2632-4727-bb19-022477ccd7cd</errorID>
      <errorWord>位</errorWord>
      <group>L1_Word</group>
      <groupName>字词问题</groupName>
      <ability>L2_Typo</ability>
      <abilityName>字词错误</abilityName>
      <candidateList>
        <item>位在</item>
      </candidateList>
      <explain/>
      <paraID>7CC05697</paraID>
      <start>81</start>
      <end>83</end>
      <status>modified</status>
      <modifiedWord>位在</modifiedWord>
      <trackRevisions>false</trackRevisions>
    </reviewItem>
    <reviewItem>
      <errorID>d7762d82-972d-4807-b9ea-ecc8cdbdbc76</errorID>
      <errorWord>根据上述结果显示</errorWord>
      <group>L1_Grammar</group>
      <groupName>语法问题</groupName>
      <ability>L2_Grammar</ability>
      <abilityName>语法错误</abilityName>
      <candidateList>
        <item>根据上述结果</item>
      </candidateList>
      <explain>该表达中的“根据上述结果显示”存在语义重复。</explain>
      <paraID>3A78B748</paraID>
      <start>0</start>
      <end>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68e360-a249-4620-aa44-b45c2356d18e}">
  <ds:schemaRefs/>
</ds:datastoreItem>
</file>

<file path=docProps/app.xml><?xml version="1.0" encoding="utf-8"?>
<Properties xmlns="http://schemas.openxmlformats.org/officeDocument/2006/extended-properties" xmlns:vt="http://schemas.openxmlformats.org/officeDocument/2006/docPropsVTypes">
  <Template>Normal.dotm</Template>
  <Pages>80</Pages>
  <Words>10536</Words>
  <Characters>11378</Characters>
  <Lines>1</Lines>
  <Paragraphs>1</Paragraphs>
  <TotalTime>2</TotalTime>
  <ScaleCrop>false</ScaleCrop>
  <LinksUpToDate>false</LinksUpToDate>
  <CharactersWithSpaces>11466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2021-07-11T09:52:00Z</dcterms:created>
  <dc:creator>醜金寶QQ873133969</dc:creator>
  <cp:lastModifiedBy>赎尽&amp;执念</cp:lastModifiedBy>
  <cp:lastPrinted>2024-10-08T03:14:00Z</cp:lastPrinted>
  <dcterms:modified xsi:type="dcterms:W3CDTF">2026-08-19T05:15:48Z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6A742DA38D6548DE958D16FF66274F6C</vt:lpwstr>
  </property>
  <property fmtid="{D5CDD505-2E9C-101B-9397-08002B2CF9AE}" pid="4" name="KSOSaveFontToCloudKey">
    <vt:lpwstr>1205343577_btnclosed</vt:lpwstr>
  </property>
  <property fmtid="{D5CDD505-2E9C-101B-9397-08002B2CF9AE}" pid="5" name="KSOTemplateDocerSaveRecord">
    <vt:lpwstr>eyJoZGlkIjoiNjkzOTYyOGIwZmFkNjE0NGFjYzI5OTQ0ODUzZDZkOWQiLCJ1c2VySWQiOiI0MjIxMDAzNzcifQ==</vt:lpwstr>
  </property>
</Properties>
</file>