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0107B">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方正仿宋简体" w:hAnsi="方正仿宋简体" w:eastAsia="方正仿宋简体" w:cs="方正仿宋简体"/>
          <w:b/>
          <w:color w:val="auto"/>
          <w:kern w:val="0"/>
          <w:sz w:val="32"/>
          <w:szCs w:val="32"/>
          <w:lang w:bidi="en-US"/>
        </w:rPr>
      </w:pPr>
    </w:p>
    <w:p w14:paraId="6AE8107F">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jc w:val="both"/>
        <w:textAlignment w:val="auto"/>
        <w:outlineLvl w:val="9"/>
        <w:rPr>
          <w:rFonts w:hint="eastAsia" w:ascii="方正仿宋简体" w:hAnsi="方正仿宋简体" w:eastAsia="方正仿宋简体" w:cs="方正仿宋简体"/>
          <w:b/>
          <w:color w:val="auto"/>
          <w:kern w:val="0"/>
          <w:sz w:val="32"/>
          <w:szCs w:val="32"/>
          <w:lang w:bidi="en-US"/>
        </w:rPr>
      </w:pPr>
    </w:p>
    <w:p w14:paraId="3D3ECFC9">
      <w:pPr>
        <w:pStyle w:val="8"/>
        <w:bidi w:val="0"/>
        <w:ind w:left="0" w:leftChars="0" w:firstLine="0" w:firstLineChars="0"/>
        <w:jc w:val="center"/>
        <w:rPr>
          <w:rFonts w:hint="eastAsia"/>
          <w:lang w:eastAsia="zh-CN"/>
        </w:rPr>
      </w:pPr>
      <w:bookmarkStart w:id="0" w:name="_Toc10502"/>
      <w:bookmarkStart w:id="1" w:name="_Toc13016"/>
      <w:bookmarkStart w:id="2" w:name="_Toc15282"/>
      <w:bookmarkStart w:id="3" w:name="_Toc30866"/>
      <w:r>
        <w:rPr>
          <w:rFonts w:hint="eastAsia"/>
          <w:lang w:val="en-US" w:eastAsia="zh-CN"/>
        </w:rPr>
        <w:t>2025年莎车县困难残疾人生活补贴和重度残疾人护理补贴项目</w:t>
      </w:r>
      <w:r>
        <w:rPr>
          <w:rFonts w:hint="eastAsia"/>
          <w:lang w:eastAsia="zh-CN"/>
        </w:rPr>
        <w:t>绩效评价报告</w:t>
      </w:r>
      <w:bookmarkEnd w:id="0"/>
      <w:bookmarkEnd w:id="1"/>
      <w:bookmarkEnd w:id="2"/>
      <w:bookmarkEnd w:id="3"/>
    </w:p>
    <w:p w14:paraId="26524C8F">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0731760B">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5B70D92B">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1C48A699">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6706AF1C">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18192E41">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lang w:bidi="en-US"/>
        </w:rPr>
      </w:pPr>
    </w:p>
    <w:p w14:paraId="12950DEB">
      <w:pPr>
        <w:keepNext w:val="0"/>
        <w:keepLines w:val="0"/>
        <w:pageBreakBefore w:val="0"/>
        <w:widowControl w:val="0"/>
        <w:kinsoku w:val="0"/>
        <w:wordWrap/>
        <w:overflowPunct w:val="0"/>
        <w:topLinePunct w:val="0"/>
        <w:autoSpaceDE w:val="0"/>
        <w:autoSpaceDN w:val="0"/>
        <w:bidi w:val="0"/>
        <w:adjustRightInd/>
        <w:snapToGrid/>
        <w:spacing w:line="560" w:lineRule="exact"/>
        <w:ind w:left="3200" w:leftChars="500" w:right="0" w:hanging="1600" w:hangingChars="500"/>
        <w:jc w:val="left"/>
        <w:textAlignment w:val="auto"/>
        <w:rPr>
          <w:rFonts w:hint="eastAsia" w:ascii="方正楷体_GBK" w:hAnsi="方正楷体_GBK" w:eastAsia="方正楷体_GBK" w:cs="方正楷体_GBK"/>
          <w:b/>
          <w:bCs/>
          <w:color w:val="auto"/>
          <w:kern w:val="0"/>
          <w:sz w:val="32"/>
          <w:szCs w:val="32"/>
          <w:lang w:eastAsia="zh-CN" w:bidi="en-US"/>
        </w:rPr>
      </w:pPr>
      <w:r>
        <w:rPr>
          <w:rFonts w:hint="eastAsia" w:ascii="方正楷体_GBK" w:hAnsi="方正楷体_GBK" w:eastAsia="方正楷体_GBK" w:cs="方正楷体_GBK"/>
          <w:b w:val="0"/>
          <w:bCs w:val="0"/>
          <w:color w:val="auto"/>
          <w:kern w:val="0"/>
          <w:sz w:val="32"/>
          <w:szCs w:val="32"/>
          <w:shd w:val="clear" w:color="auto" w:fill="auto"/>
          <w:lang w:eastAsia="zh-CN"/>
        </w:rPr>
        <w:drawing>
          <wp:anchor distT="0" distB="0" distL="114300" distR="114300" simplePos="0" relativeHeight="251665408" behindDoc="1" locked="0" layoutInCell="1" allowOverlap="1">
            <wp:simplePos x="0" y="0"/>
            <wp:positionH relativeFrom="column">
              <wp:posOffset>1921510</wp:posOffset>
            </wp:positionH>
            <wp:positionV relativeFrom="paragraph">
              <wp:posOffset>605790</wp:posOffset>
            </wp:positionV>
            <wp:extent cx="1477645" cy="1477645"/>
            <wp:effectExtent l="0" t="0" r="635" b="635"/>
            <wp:wrapNone/>
            <wp:docPr id="2" name="图片 2" descr="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
                    <pic:cNvPicPr>
                      <a:picLocks noChangeAspect="1"/>
                    </pic:cNvPicPr>
                  </pic:nvPicPr>
                  <pic:blipFill>
                    <a:blip r:embed="rId9"/>
                    <a:stretch>
                      <a:fillRect/>
                    </a:stretch>
                  </pic:blipFill>
                  <pic:spPr>
                    <a:xfrm>
                      <a:off x="0" y="0"/>
                      <a:ext cx="1477645" cy="1477645"/>
                    </a:xfrm>
                    <a:prstGeom prst="rect">
                      <a:avLst/>
                    </a:prstGeom>
                  </pic:spPr>
                </pic:pic>
              </a:graphicData>
            </a:graphic>
          </wp:anchor>
        </w:drawing>
      </w:r>
      <w:r>
        <w:rPr>
          <w:rFonts w:hint="eastAsia" w:ascii="方正楷体_GBK" w:hAnsi="方正楷体_GBK" w:eastAsia="方正楷体_GBK" w:cs="方正楷体_GBK"/>
          <w:b/>
          <w:bCs/>
          <w:color w:val="auto"/>
          <w:kern w:val="0"/>
          <w:sz w:val="32"/>
          <w:szCs w:val="32"/>
          <w:lang w:bidi="en-US"/>
        </w:rPr>
        <w:t>项目名称：</w:t>
      </w:r>
      <w:r>
        <w:rPr>
          <w:rFonts w:hint="eastAsia" w:ascii="方正楷体_GBK" w:hAnsi="方正楷体_GBK" w:eastAsia="方正楷体_GBK" w:cs="方正楷体_GBK"/>
          <w:b/>
          <w:bCs/>
          <w:color w:val="auto"/>
          <w:kern w:val="0"/>
          <w:sz w:val="32"/>
          <w:szCs w:val="32"/>
          <w:lang w:eastAsia="zh-CN" w:bidi="en-US"/>
        </w:rPr>
        <w:t>2025年莎车县困难残疾人生活补贴和重度残疾人护理补贴项目</w:t>
      </w:r>
    </w:p>
    <w:p w14:paraId="078C8F52">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lang w:bidi="en-US"/>
        </w:rPr>
      </w:pPr>
      <w:r>
        <w:rPr>
          <w:rFonts w:hint="eastAsia" w:ascii="方正楷体_GBK" w:hAnsi="方正楷体_GBK" w:eastAsia="方正楷体_GBK" w:cs="方正楷体_GBK"/>
          <w:b/>
          <w:bCs/>
          <w:color w:val="auto"/>
          <w:kern w:val="0"/>
          <w:sz w:val="32"/>
          <w:szCs w:val="32"/>
          <w:lang w:bidi="en-US"/>
        </w:rPr>
        <w:t>项目单位：莎车县民政局</w:t>
      </w:r>
    </w:p>
    <w:p w14:paraId="0FDDED5E">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lang w:bidi="en-US"/>
        </w:rPr>
      </w:pPr>
      <w:r>
        <w:rPr>
          <w:rFonts w:hint="eastAsia" w:ascii="方正楷体_GBK" w:hAnsi="方正楷体_GBK" w:eastAsia="方正楷体_GBK" w:cs="方正楷体_GBK"/>
          <w:b/>
          <w:bCs/>
          <w:color w:val="auto"/>
          <w:kern w:val="0"/>
          <w:sz w:val="32"/>
          <w:szCs w:val="32"/>
          <w:lang w:bidi="en-US"/>
        </w:rPr>
        <w:t>主管部门：莎车县民政局</w:t>
      </w:r>
    </w:p>
    <w:p w14:paraId="235FD367">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left"/>
        <w:textAlignment w:val="auto"/>
        <w:rPr>
          <w:rFonts w:hint="eastAsia" w:ascii="方正楷体_GBK" w:hAnsi="方正楷体_GBK" w:eastAsia="方正楷体_GBK" w:cs="方正楷体_GBK"/>
          <w:b/>
          <w:bCs/>
          <w:color w:val="auto"/>
          <w:kern w:val="0"/>
          <w:sz w:val="32"/>
          <w:szCs w:val="32"/>
        </w:rPr>
      </w:pPr>
      <w:r>
        <w:rPr>
          <w:rFonts w:hint="eastAsia" w:ascii="方正楷体_GBK" w:hAnsi="方正楷体_GBK" w:eastAsia="方正楷体_GBK" w:cs="方正楷体_GBK"/>
          <w:b/>
          <w:bCs/>
          <w:color w:val="auto"/>
          <w:kern w:val="0"/>
          <w:sz w:val="32"/>
          <w:szCs w:val="32"/>
        </w:rPr>
        <w:t>委托单位：莎车县财政局</w:t>
      </w:r>
    </w:p>
    <w:p w14:paraId="5F9A69E3">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0" w:firstLineChars="500"/>
        <w:jc w:val="left"/>
        <w:textAlignment w:val="auto"/>
        <w:rPr>
          <w:rFonts w:hint="eastAsia" w:ascii="方正楷体_GBK" w:hAnsi="方正楷体_GBK" w:eastAsia="方正楷体_GBK" w:cs="方正楷体_GBK"/>
          <w:b/>
          <w:bCs/>
          <w:color w:val="auto"/>
          <w:kern w:val="0"/>
          <w:sz w:val="32"/>
          <w:szCs w:val="32"/>
        </w:rPr>
      </w:pPr>
      <w:r>
        <w:rPr>
          <w:rFonts w:hint="eastAsia" w:eastAsia="仿宋_GB2312"/>
          <w:color w:val="auto"/>
          <w:shd w:val="clear" w:color="auto" w:fill="auto"/>
          <w:lang w:eastAsia="zh-CN"/>
        </w:rPr>
        <w:drawing>
          <wp:anchor distT="0" distB="0" distL="114300" distR="114300" simplePos="0" relativeHeight="251666432" behindDoc="1" locked="0" layoutInCell="1" allowOverlap="1">
            <wp:simplePos x="0" y="0"/>
            <wp:positionH relativeFrom="column">
              <wp:posOffset>1972310</wp:posOffset>
            </wp:positionH>
            <wp:positionV relativeFrom="paragraph">
              <wp:posOffset>339090</wp:posOffset>
            </wp:positionV>
            <wp:extent cx="803910" cy="434340"/>
            <wp:effectExtent l="0" t="0" r="17780" b="2540"/>
            <wp:wrapNone/>
            <wp:docPr id="1" name="图片 1" descr="微信图片_20260804105932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804105932_2_14"/>
                    <pic:cNvPicPr>
                      <a:picLocks noChangeAspect="1"/>
                    </pic:cNvPicPr>
                  </pic:nvPicPr>
                  <pic:blipFill>
                    <a:blip r:embed="rId10"/>
                    <a:stretch>
                      <a:fillRect/>
                    </a:stretch>
                  </pic:blipFill>
                  <pic:spPr>
                    <a:xfrm rot="600000">
                      <a:off x="0" y="0"/>
                      <a:ext cx="803910" cy="434340"/>
                    </a:xfrm>
                    <a:prstGeom prst="rect">
                      <a:avLst/>
                    </a:prstGeom>
                  </pic:spPr>
                </pic:pic>
              </a:graphicData>
            </a:graphic>
          </wp:anchor>
        </w:drawing>
      </w:r>
      <w:r>
        <w:rPr>
          <w:rFonts w:hint="eastAsia" w:ascii="方正楷体_GBK" w:hAnsi="方正楷体_GBK" w:eastAsia="方正楷体_GBK" w:cs="方正楷体_GBK"/>
          <w:b/>
          <w:bCs/>
          <w:color w:val="auto"/>
          <w:kern w:val="0"/>
          <w:sz w:val="32"/>
          <w:szCs w:val="32"/>
        </w:rPr>
        <w:t>评价机构：新疆鸿晟达信息咨询有限公司</w:t>
      </w:r>
    </w:p>
    <w:p w14:paraId="23C83498">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1600" w:firstLineChars="500"/>
        <w:jc w:val="left"/>
        <w:textAlignment w:val="auto"/>
        <w:rPr>
          <w:rFonts w:hint="default" w:ascii="方正楷体_GBK" w:hAnsi="方正楷体_GBK" w:eastAsia="方正楷体_GBK" w:cs="方正楷体_GBK"/>
          <w:b w:val="0"/>
          <w:bCs w:val="0"/>
          <w:color w:val="auto"/>
          <w:kern w:val="0"/>
          <w:sz w:val="32"/>
          <w:szCs w:val="32"/>
          <w:lang w:val="en-US" w:eastAsia="zh-CN"/>
        </w:rPr>
      </w:pPr>
      <w:r>
        <w:rPr>
          <w:rFonts w:hint="eastAsia" w:ascii="仿宋_GB2312" w:hAnsi="仿宋_GB2312" w:eastAsia="仿宋_GB2312" w:cs="仿宋_GB2312"/>
          <w:color w:val="auto"/>
          <w:kern w:val="0"/>
          <w:sz w:val="32"/>
          <w:szCs w:val="32"/>
          <w:shd w:val="clear" w:color="auto" w:fill="auto"/>
          <w:lang w:eastAsia="zh-CN" w:bidi="en-US"/>
        </w:rPr>
        <w:drawing>
          <wp:anchor distT="0" distB="0" distL="114300" distR="114300" simplePos="0" relativeHeight="251667456" behindDoc="0" locked="0" layoutInCell="1" allowOverlap="1">
            <wp:simplePos x="0" y="0"/>
            <wp:positionH relativeFrom="column">
              <wp:posOffset>2945765</wp:posOffset>
            </wp:positionH>
            <wp:positionV relativeFrom="paragraph">
              <wp:posOffset>67310</wp:posOffset>
            </wp:positionV>
            <wp:extent cx="542925" cy="474980"/>
            <wp:effectExtent l="0" t="0" r="5715" b="12700"/>
            <wp:wrapNone/>
            <wp:docPr id="4" name="图片 4" descr="微信图片_20260804105932_2_14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804105932_2_14 - 副本"/>
                    <pic:cNvPicPr>
                      <a:picLocks noChangeAspect="1"/>
                    </pic:cNvPicPr>
                  </pic:nvPicPr>
                  <pic:blipFill>
                    <a:blip r:embed="rId11"/>
                    <a:stretch>
                      <a:fillRect/>
                    </a:stretch>
                  </pic:blipFill>
                  <pic:spPr>
                    <a:xfrm>
                      <a:off x="0" y="0"/>
                      <a:ext cx="542925" cy="474980"/>
                    </a:xfrm>
                    <a:prstGeom prst="rect">
                      <a:avLst/>
                    </a:prstGeom>
                  </pic:spPr>
                </pic:pic>
              </a:graphicData>
            </a:graphic>
          </wp:anchor>
        </w:drawing>
      </w:r>
      <w:r>
        <w:rPr>
          <w:rFonts w:hint="eastAsia" w:ascii="方正楷体_GBK" w:hAnsi="方正楷体_GBK" w:eastAsia="方正楷体_GBK" w:cs="方正楷体_GBK"/>
          <w:b/>
          <w:bCs/>
          <w:color w:val="auto"/>
          <w:kern w:val="0"/>
          <w:sz w:val="32"/>
          <w:szCs w:val="32"/>
        </w:rPr>
        <w:t>主</w:t>
      </w:r>
      <w:r>
        <w:rPr>
          <w:rFonts w:hint="eastAsia" w:ascii="方正楷体_GBK" w:hAnsi="方正楷体_GBK" w:eastAsia="方正楷体_GBK" w:cs="方正楷体_GBK"/>
          <w:b/>
          <w:bCs/>
          <w:color w:val="auto"/>
          <w:kern w:val="0"/>
          <w:sz w:val="32"/>
          <w:szCs w:val="32"/>
          <w:lang w:val="en-US" w:eastAsia="zh-CN"/>
        </w:rPr>
        <w:t xml:space="preserve"> </w:t>
      </w:r>
      <w:r>
        <w:rPr>
          <w:rFonts w:hint="eastAsia" w:ascii="方正楷体_GBK" w:hAnsi="方正楷体_GBK" w:eastAsia="方正楷体_GBK" w:cs="方正楷体_GBK"/>
          <w:b/>
          <w:bCs/>
          <w:color w:val="auto"/>
          <w:kern w:val="0"/>
          <w:sz w:val="32"/>
          <w:szCs w:val="32"/>
        </w:rPr>
        <w:t>评</w:t>
      </w:r>
      <w:r>
        <w:rPr>
          <w:rFonts w:hint="eastAsia" w:ascii="方正楷体_GBK" w:hAnsi="方正楷体_GBK" w:eastAsia="方正楷体_GBK" w:cs="方正楷体_GBK"/>
          <w:b/>
          <w:bCs/>
          <w:color w:val="auto"/>
          <w:kern w:val="0"/>
          <w:sz w:val="32"/>
          <w:szCs w:val="32"/>
          <w:lang w:val="en-US" w:eastAsia="zh-CN"/>
        </w:rPr>
        <w:t xml:space="preserve"> </w:t>
      </w:r>
      <w:r>
        <w:rPr>
          <w:rFonts w:hint="eastAsia" w:ascii="方正楷体_GBK" w:hAnsi="方正楷体_GBK" w:eastAsia="方正楷体_GBK" w:cs="方正楷体_GBK"/>
          <w:b/>
          <w:bCs/>
          <w:color w:val="auto"/>
          <w:kern w:val="0"/>
          <w:sz w:val="32"/>
          <w:szCs w:val="32"/>
        </w:rPr>
        <w:t>人：</w:t>
      </w:r>
    </w:p>
    <w:p w14:paraId="70F761B0">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left"/>
        <w:textAlignment w:val="auto"/>
        <w:rPr>
          <w:rFonts w:hint="eastAsia" w:ascii="仿宋_GB2312" w:hAnsi="仿宋_GB2312" w:cs="仿宋_GB2312"/>
          <w:color w:val="auto"/>
          <w:kern w:val="0"/>
          <w:sz w:val="32"/>
          <w:szCs w:val="32"/>
          <w:lang w:bidi="en-US"/>
        </w:rPr>
      </w:pPr>
    </w:p>
    <w:p w14:paraId="28D135B8">
      <w:pPr>
        <w:pStyle w:val="7"/>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right="0" w:firstLine="0" w:firstLineChars="0"/>
        <w:textAlignment w:val="auto"/>
        <w:outlineLvl w:val="9"/>
        <w:rPr>
          <w:rFonts w:hint="eastAsia" w:ascii="仿宋_GB2312" w:hAnsi="仿宋_GB2312" w:cs="仿宋_GB2312"/>
          <w:color w:val="auto"/>
          <w:kern w:val="0"/>
          <w:sz w:val="32"/>
          <w:szCs w:val="32"/>
          <w:lang w:bidi="en-US"/>
        </w:rPr>
      </w:pPr>
    </w:p>
    <w:p w14:paraId="10840C0E">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color w:val="auto"/>
        </w:rPr>
      </w:pPr>
    </w:p>
    <w:p w14:paraId="0A7F7920">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jc w:val="center"/>
        <w:textAlignment w:val="auto"/>
        <w:rPr>
          <w:rFonts w:hint="eastAsia" w:ascii="方正楷体_GBK" w:hAnsi="方正楷体_GBK" w:eastAsia="方正楷体_GBK" w:cs="方正楷体_GBK"/>
          <w:b/>
          <w:bCs/>
          <w:color w:val="auto"/>
          <w:kern w:val="0"/>
          <w:sz w:val="32"/>
          <w:szCs w:val="32"/>
          <w:lang w:bidi="en-US"/>
        </w:rPr>
      </w:pPr>
      <w:r>
        <w:rPr>
          <w:rFonts w:hint="eastAsia" w:ascii="方正楷体_GBK" w:hAnsi="方正楷体_GBK" w:eastAsia="方正楷体_GBK" w:cs="方正楷体_GBK"/>
          <w:b/>
          <w:bCs/>
          <w:color w:val="auto"/>
          <w:kern w:val="0"/>
          <w:sz w:val="32"/>
          <w:szCs w:val="32"/>
          <w:lang w:val="en-US" w:eastAsia="zh-CN" w:bidi="en-US"/>
        </w:rPr>
        <w:t>2026</w:t>
      </w:r>
      <w:r>
        <w:rPr>
          <w:rFonts w:hint="eastAsia" w:ascii="方正楷体_GBK" w:hAnsi="方正楷体_GBK" w:eastAsia="方正楷体_GBK" w:cs="方正楷体_GBK"/>
          <w:b/>
          <w:bCs/>
          <w:color w:val="auto"/>
          <w:kern w:val="0"/>
          <w:sz w:val="32"/>
          <w:szCs w:val="32"/>
          <w:lang w:bidi="en-US"/>
        </w:rPr>
        <w:t>年</w:t>
      </w:r>
      <w:r>
        <w:rPr>
          <w:rFonts w:hint="eastAsia" w:ascii="方正楷体_GBK" w:hAnsi="方正楷体_GBK" w:eastAsia="方正楷体_GBK" w:cs="方正楷体_GBK"/>
          <w:b/>
          <w:bCs/>
          <w:color w:val="auto"/>
          <w:kern w:val="0"/>
          <w:sz w:val="32"/>
          <w:szCs w:val="32"/>
          <w:lang w:val="en-US" w:eastAsia="zh-CN" w:bidi="en-US"/>
        </w:rPr>
        <w:t>7</w:t>
      </w:r>
      <w:r>
        <w:rPr>
          <w:rFonts w:hint="eastAsia" w:ascii="方正楷体_GBK" w:hAnsi="方正楷体_GBK" w:eastAsia="方正楷体_GBK" w:cs="方正楷体_GBK"/>
          <w:b/>
          <w:bCs/>
          <w:color w:val="auto"/>
          <w:kern w:val="0"/>
          <w:sz w:val="32"/>
          <w:szCs w:val="32"/>
          <w:lang w:bidi="en-US"/>
        </w:rPr>
        <w:t>月</w:t>
      </w:r>
    </w:p>
    <w:p w14:paraId="7260D102">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textAlignment w:val="auto"/>
        <w:rPr>
          <w:rFonts w:hint="eastAsia" w:ascii="仿宋_GB2312" w:hAnsi="仿宋_GB2312" w:cs="仿宋_GB2312"/>
          <w:color w:val="auto"/>
          <w:kern w:val="0"/>
          <w:sz w:val="32"/>
          <w:szCs w:val="32"/>
          <w:lang w:bidi="en-US"/>
        </w:rPr>
      </w:pPr>
    </w:p>
    <w:p w14:paraId="42899439">
      <w:pPr>
        <w:pStyle w:val="8"/>
        <w:bidi w:val="0"/>
        <w:ind w:left="0" w:leftChars="0" w:firstLine="0" w:firstLineChars="0"/>
        <w:jc w:val="center"/>
        <w:rPr>
          <w:rFonts w:hint="eastAsia"/>
        </w:rPr>
      </w:pPr>
      <w:r>
        <w:rPr>
          <w:rFonts w:hint="eastAsia"/>
        </w:rPr>
        <w:t>报告摘要</w:t>
      </w:r>
    </w:p>
    <w:p w14:paraId="45D874BA">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outlineLvl w:val="9"/>
        <w:rPr>
          <w:rFonts w:hint="eastAsia" w:ascii="方正仿宋_GBK" w:hAnsi="方正仿宋_GBK" w:eastAsia="方正仿宋_GBK" w:cs="方正仿宋_GBK"/>
          <w:b w:val="0"/>
          <w:bCs/>
          <w:color w:val="auto"/>
          <w:sz w:val="32"/>
          <w:szCs w:val="32"/>
        </w:rPr>
      </w:pPr>
    </w:p>
    <w:p w14:paraId="0D52B659">
      <w:pPr>
        <w:bidi w:val="0"/>
        <w:rPr>
          <w:rFonts w:hint="eastAsia"/>
        </w:rPr>
      </w:pPr>
      <w:r>
        <w:rPr>
          <w:rFonts w:hint="eastAsia"/>
          <w:lang w:eastAsia="zh-CN"/>
        </w:rPr>
        <w:t>应莎车县</w:t>
      </w:r>
      <w:r>
        <w:rPr>
          <w:rFonts w:hint="eastAsia"/>
        </w:rPr>
        <w:t>财政局委托，新疆鸿晟达信息咨询有限公司对</w:t>
      </w:r>
      <w:r>
        <w:rPr>
          <w:rFonts w:hint="eastAsia"/>
          <w:lang w:val="en-US" w:eastAsia="zh-CN"/>
        </w:rPr>
        <w:t>2025</w:t>
      </w:r>
      <w:r>
        <w:rPr>
          <w:rFonts w:hint="eastAsia"/>
        </w:rPr>
        <w:t>年</w:t>
      </w:r>
      <w:r>
        <w:rPr>
          <w:rFonts w:hint="eastAsia"/>
          <w:lang w:val="en-US" w:eastAsia="zh-CN"/>
        </w:rPr>
        <w:t>莎车县民政局</w:t>
      </w:r>
      <w:r>
        <w:rPr>
          <w:rFonts w:hint="eastAsia"/>
        </w:rPr>
        <w:t>实施的</w:t>
      </w:r>
      <w:r>
        <w:rPr>
          <w:rFonts w:hint="eastAsia"/>
          <w:lang w:val="en-US" w:eastAsia="zh-CN"/>
        </w:rPr>
        <w:t>2025年莎车县困难残疾人生活补贴和重度残疾人护理补贴项目</w:t>
      </w:r>
      <w:r>
        <w:rPr>
          <w:rFonts w:hint="eastAsia"/>
        </w:rPr>
        <w:t>开展了绩效评价工作并形成绩效评价报告，评价情况如下：</w:t>
      </w:r>
    </w:p>
    <w:p w14:paraId="1D2053F5">
      <w:pPr>
        <w:pStyle w:val="5"/>
        <w:bidi w:val="0"/>
        <w:rPr>
          <w:rFonts w:hint="default"/>
          <w:lang w:eastAsia="zh-CN"/>
        </w:rPr>
      </w:pPr>
      <w:bookmarkStart w:id="4" w:name="_Toc22169"/>
      <w:bookmarkStart w:id="5" w:name="_Toc27369"/>
      <w:bookmarkStart w:id="6" w:name="_Toc7130"/>
      <w:bookmarkStart w:id="7" w:name="_Toc10298"/>
      <w:bookmarkStart w:id="8" w:name="_Toc3996"/>
      <w:bookmarkStart w:id="9" w:name="_Toc21133"/>
      <w:bookmarkStart w:id="10" w:name="_Toc29772"/>
      <w:r>
        <w:rPr>
          <w:rFonts w:hint="eastAsia"/>
          <w:lang w:eastAsia="zh-CN"/>
        </w:rPr>
        <w:t>一、</w:t>
      </w:r>
      <w:r>
        <w:rPr>
          <w:rFonts w:hint="default"/>
          <w:lang w:eastAsia="zh-CN"/>
        </w:rPr>
        <w:t>项目概述</w:t>
      </w:r>
      <w:bookmarkEnd w:id="4"/>
      <w:bookmarkEnd w:id="5"/>
      <w:bookmarkEnd w:id="6"/>
      <w:bookmarkEnd w:id="7"/>
      <w:bookmarkEnd w:id="8"/>
      <w:bookmarkEnd w:id="9"/>
      <w:bookmarkEnd w:id="10"/>
    </w:p>
    <w:p w14:paraId="2E38CDDC">
      <w:pPr>
        <w:pStyle w:val="6"/>
        <w:bidi w:val="0"/>
        <w:rPr>
          <w:rFonts w:hint="default"/>
          <w:lang w:eastAsia="zh-CN"/>
        </w:rPr>
      </w:pPr>
      <w:bookmarkStart w:id="11" w:name="_Toc2324"/>
      <w:bookmarkStart w:id="12" w:name="_Toc24910"/>
      <w:bookmarkStart w:id="13" w:name="_Toc8694"/>
      <w:bookmarkStart w:id="14" w:name="_Toc8849"/>
      <w:bookmarkStart w:id="15" w:name="_Toc11445"/>
      <w:bookmarkStart w:id="16" w:name="_Toc31917"/>
      <w:bookmarkStart w:id="17" w:name="_Toc22119"/>
      <w:r>
        <w:rPr>
          <w:rFonts w:hint="eastAsia"/>
          <w:lang w:eastAsia="zh-CN"/>
        </w:rPr>
        <w:t>（一）</w:t>
      </w:r>
      <w:r>
        <w:rPr>
          <w:rFonts w:hint="default"/>
          <w:lang w:eastAsia="zh-CN"/>
        </w:rPr>
        <w:t>项目概述</w:t>
      </w:r>
      <w:bookmarkEnd w:id="11"/>
      <w:bookmarkEnd w:id="12"/>
      <w:bookmarkEnd w:id="13"/>
      <w:bookmarkEnd w:id="14"/>
      <w:bookmarkEnd w:id="15"/>
      <w:bookmarkEnd w:id="16"/>
      <w:bookmarkEnd w:id="17"/>
    </w:p>
    <w:p w14:paraId="04709647">
      <w:pPr>
        <w:bidi w:val="0"/>
        <w:rPr>
          <w:rFonts w:hint="eastAsia"/>
        </w:rPr>
      </w:pPr>
      <w:r>
        <w:rPr>
          <w:rFonts w:hint="eastAsia"/>
        </w:rPr>
        <w:t>项目名称：</w:t>
      </w:r>
      <w:r>
        <w:rPr>
          <w:rFonts w:hint="eastAsia"/>
          <w:lang w:val="en-US" w:eastAsia="zh-CN"/>
        </w:rPr>
        <w:t>2025年莎车县困难残疾人生活补贴和重度残疾人护理补贴项目（</w:t>
      </w:r>
      <w:r>
        <w:rPr>
          <w:rFonts w:hint="eastAsia"/>
        </w:rPr>
        <w:t>以下简称“该项目”或“项目”</w:t>
      </w:r>
      <w:r>
        <w:rPr>
          <w:rFonts w:hint="eastAsia"/>
          <w:lang w:eastAsia="zh-CN"/>
        </w:rPr>
        <w:t>）</w:t>
      </w:r>
    </w:p>
    <w:p w14:paraId="3DB03D5A">
      <w:pPr>
        <w:bidi w:val="0"/>
        <w:rPr>
          <w:rFonts w:hint="eastAsia"/>
          <w:lang w:val="en-US" w:eastAsia="zh-CN"/>
        </w:rPr>
      </w:pPr>
      <w:r>
        <w:rPr>
          <w:rFonts w:hint="eastAsia"/>
        </w:rPr>
        <w:t>项目背景：</w:t>
      </w:r>
      <w:r>
        <w:rPr>
          <w:rFonts w:hint="eastAsia"/>
          <w:lang w:val="en-US" w:eastAsia="zh-CN"/>
        </w:rPr>
        <w:t>残疾人是需重点关爱帮扶的特殊困难群体，部分残疾人存在额外生活支出大、长期照护负担重、家庭经济压力突出等问题，是民生保障的重点短板领域。为系统解决残疾人特殊生活困难和长期照护困难，健全残疾人福利保障体系，补齐残疾人民生保障短板，加快推进残疾人小康进程，体现社会公平正义，国家层面统筹部署全面建立残疾人两项补贴制度，填补了全国统一的残疾人专项福利制度空白，成为保障残疾人生存发展权益、巩固拓展脱贫攻坚成果、维护社会和谐稳定的重要民生兜底举措；依据《国务院关于全面建立困难残疾人生活补贴和重度残疾人护理补贴制度的意见》（国发〔2015〕52号）文件，作为全国两项补贴制度的立法源头，明确补贴对象、原则与框架，制度自2016年1月1日起全国实施，覆盖低保家庭残疾人与一、二级重度残疾人；后续结合实施情况持续优化完善，逐步扩大补贴覆盖范围、健全动态调整和精准管理机制，提升残疾人保障水平。2025年，莎车县民政局依据《关于提高全区困难残疾人生活补贴和重度残疾人护理补贴标准的通知》（新民发〔2024〕53号）、《关于提前下达2025年自治区财政困难残疾人生活补贴和重度残疾人护理补贴补助资金的通知》（喀地财社〔2024〕67号）文件要求实施此项目，进一步解决残疾人特殊生活困难和长期护理困难等实际问题，以加快推进残疾人小康进程为目标，以残疾人需求为导向，坚持待遇适度、制度衔接、全面覆盖、公正公开、规范有序、资源统筹、责任共担的原则，落实残疾人专项福利政策，逐步完善残疾人社会保障体系。</w:t>
      </w:r>
    </w:p>
    <w:p w14:paraId="5F5F6C9D">
      <w:pPr>
        <w:bidi w:val="0"/>
        <w:rPr>
          <w:rFonts w:hint="eastAsia"/>
          <w:lang w:eastAsia="zh-CN"/>
        </w:rPr>
      </w:pPr>
      <w:r>
        <w:rPr>
          <w:rFonts w:hint="eastAsia"/>
        </w:rPr>
        <w:t>项目内容：</w:t>
      </w:r>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其中，对全县11825名残疾人发放困难残疾人生活补贴，生活补贴标准为120元/人/月；对全县8771名重度残疾人发放重度残疾人护理补贴，护理补贴标准为120元/人/月。确保困难残疾人生活补助和重度残疾人护理补贴资金及时发放，提升残疾人的生活质量。</w:t>
      </w:r>
    </w:p>
    <w:p w14:paraId="2FDC67E8">
      <w:pPr>
        <w:pStyle w:val="6"/>
        <w:numPr>
          <w:ilvl w:val="0"/>
          <w:numId w:val="1"/>
        </w:numPr>
        <w:bidi w:val="0"/>
        <w:rPr>
          <w:rFonts w:hint="default"/>
          <w:lang w:eastAsia="zh-CN"/>
        </w:rPr>
      </w:pPr>
      <w:bookmarkStart w:id="18" w:name="_Toc31629"/>
      <w:bookmarkStart w:id="19" w:name="_Toc5325"/>
      <w:bookmarkStart w:id="20" w:name="_Toc23456"/>
      <w:bookmarkStart w:id="21" w:name="_Toc18640"/>
      <w:bookmarkStart w:id="22" w:name="_Toc27650"/>
      <w:bookmarkStart w:id="23" w:name="_Toc8102"/>
      <w:bookmarkStart w:id="24" w:name="_Toc25598"/>
      <w:r>
        <w:rPr>
          <w:rFonts w:hint="default"/>
          <w:lang w:eastAsia="zh-CN"/>
        </w:rPr>
        <w:t>项目实施情况</w:t>
      </w:r>
      <w:bookmarkEnd w:id="18"/>
      <w:bookmarkEnd w:id="19"/>
      <w:bookmarkEnd w:id="20"/>
      <w:bookmarkEnd w:id="21"/>
      <w:bookmarkEnd w:id="22"/>
      <w:bookmarkEnd w:id="23"/>
      <w:bookmarkEnd w:id="24"/>
    </w:p>
    <w:p w14:paraId="4812A162">
      <w:pPr>
        <w:bidi w:val="0"/>
        <w:rPr>
          <w:rFonts w:hint="default"/>
          <w:lang w:eastAsia="zh-CN"/>
        </w:rPr>
      </w:pPr>
      <w:r>
        <w:rPr>
          <w:rFonts w:hint="eastAsia"/>
          <w:lang w:val="en-US" w:eastAsia="zh-CN"/>
        </w:rPr>
        <w:t>该项目预算资金总额为2941万元，其中：财政资金2941万元，其他资金0万元。根据《关于提高全区困难残疾人生活补贴和重度残疾人护理补贴标准的通知》（新民发〔2024〕53号）《关于提前下达2025年自治区财政困难残疾人生活补贴和重度残疾人护理补贴补助资金的通知》（喀地财社〔2024〕67号）文件，实际到位资金2941万元，其中：财政资金2941万元，其他资金0万元，资金到位率为100%。截至2025年12月31日，项目实际支出2940.86万元，项目预算执行率99.995%，基本全额执行。资金主要用于完成全县11825名困难残疾人生活补贴和全县8771名重度残疾人护理补贴发放，标准均为120元/月，有效提升残疾人的生活质量，改善残疾人生活条件。</w:t>
      </w:r>
    </w:p>
    <w:p w14:paraId="7B7B1EE3">
      <w:pPr>
        <w:pStyle w:val="6"/>
        <w:bidi w:val="0"/>
        <w:rPr>
          <w:rFonts w:hint="default"/>
          <w:lang w:eastAsia="zh-CN"/>
        </w:rPr>
      </w:pPr>
      <w:bookmarkStart w:id="25" w:name="_Toc3105"/>
      <w:bookmarkStart w:id="26" w:name="_Toc16944"/>
      <w:bookmarkStart w:id="27" w:name="_Toc20371"/>
      <w:bookmarkStart w:id="28" w:name="_Toc9321"/>
      <w:bookmarkStart w:id="29" w:name="_Toc30234"/>
      <w:bookmarkStart w:id="30" w:name="_Toc22511"/>
      <w:bookmarkStart w:id="31" w:name="_Toc20354"/>
      <w:r>
        <w:rPr>
          <w:rFonts w:hint="default"/>
          <w:lang w:eastAsia="zh-CN"/>
        </w:rPr>
        <w:t>（三）绩效目标</w:t>
      </w:r>
      <w:bookmarkEnd w:id="25"/>
      <w:bookmarkEnd w:id="26"/>
      <w:bookmarkEnd w:id="27"/>
      <w:bookmarkEnd w:id="28"/>
      <w:bookmarkEnd w:id="29"/>
      <w:bookmarkEnd w:id="30"/>
      <w:bookmarkEnd w:id="31"/>
    </w:p>
    <w:p w14:paraId="274C9400">
      <w:pPr>
        <w:pStyle w:val="7"/>
        <w:bidi w:val="0"/>
        <w:rPr>
          <w:rFonts w:hint="default"/>
        </w:rPr>
      </w:pPr>
      <w:r>
        <w:rPr>
          <w:rFonts w:hint="default"/>
        </w:rPr>
        <w:t>1.总目标</w:t>
      </w:r>
    </w:p>
    <w:p w14:paraId="1638DE63">
      <w:pPr>
        <w:bidi w:val="0"/>
        <w:rPr>
          <w:rFonts w:hint="default"/>
        </w:rPr>
      </w:pPr>
      <w:bookmarkStart w:id="32" w:name="_Toc24467"/>
      <w:bookmarkStart w:id="33" w:name="_Toc14119"/>
      <w:bookmarkStart w:id="34" w:name="_Toc30771"/>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确保困难残疾人生活补贴和重度残疾人护理补贴资金及时发放，提升残疾人的生活质量。</w:t>
      </w:r>
      <w:bookmarkEnd w:id="32"/>
      <w:bookmarkEnd w:id="33"/>
      <w:bookmarkEnd w:id="34"/>
    </w:p>
    <w:p w14:paraId="180AD5DD">
      <w:pPr>
        <w:pStyle w:val="7"/>
        <w:bidi w:val="0"/>
        <w:rPr>
          <w:rFonts w:hint="default"/>
        </w:rPr>
      </w:pPr>
      <w:r>
        <w:rPr>
          <w:rFonts w:hint="eastAsia"/>
          <w:lang w:val="en-US" w:eastAsia="zh-CN"/>
        </w:rPr>
        <w:t>2.</w:t>
      </w:r>
      <w:r>
        <w:rPr>
          <w:rFonts w:hint="default"/>
        </w:rPr>
        <w:t>年度绩效目标</w:t>
      </w:r>
    </w:p>
    <w:p w14:paraId="555D8FEF">
      <w:pPr>
        <w:bidi w:val="0"/>
        <w:rPr>
          <w:rFonts w:hint="default"/>
        </w:rPr>
      </w:pPr>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其中，对全县11825名残疾人发放生活补贴，生活补贴标准为120元/人/月；对全县8771名重度残疾人发放护理补贴，护理补贴标准为120元/人/月。确保困难残疾人生活补助和重度残疾人护理补贴资金及时发放，提升残疾人的生活质量。</w:t>
      </w:r>
    </w:p>
    <w:p w14:paraId="48269FE2">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产出目标</w:t>
      </w:r>
    </w:p>
    <w:p w14:paraId="7651F40E">
      <w:pPr>
        <w:bidi w:val="0"/>
        <w:rPr>
          <w:rFonts w:hint="default"/>
          <w:lang w:val="en-US" w:eastAsia="zh-CN"/>
        </w:rPr>
      </w:pPr>
      <w:r>
        <w:rPr>
          <w:rFonts w:hint="default"/>
          <w:lang w:val="en-US" w:eastAsia="zh-CN"/>
        </w:rPr>
        <w:t>产出数量</w:t>
      </w:r>
    </w:p>
    <w:p w14:paraId="381AE4EF">
      <w:pPr>
        <w:bidi w:val="0"/>
        <w:rPr>
          <w:rFonts w:hint="default"/>
          <w:lang w:val="en-US" w:eastAsia="zh-CN"/>
        </w:rPr>
      </w:pPr>
      <w:r>
        <w:rPr>
          <w:rFonts w:hint="default"/>
          <w:lang w:val="en-US" w:eastAsia="zh-CN"/>
        </w:rPr>
        <w:t>“</w:t>
      </w:r>
      <w:r>
        <w:rPr>
          <w:rFonts w:hint="eastAsia"/>
          <w:lang w:val="en-US" w:eastAsia="zh-CN"/>
        </w:rPr>
        <w:t>发放困难残疾人生活补贴人数</w:t>
      </w:r>
      <w:r>
        <w:rPr>
          <w:rFonts w:hint="default"/>
          <w:lang w:val="en-US" w:eastAsia="zh-CN"/>
        </w:rPr>
        <w:t>”指标，预期指标值为</w:t>
      </w:r>
      <w:r>
        <w:rPr>
          <w:rFonts w:hint="eastAsia"/>
          <w:lang w:val="en-US" w:eastAsia="zh-CN"/>
        </w:rPr>
        <w:t>大于等于11825人</w:t>
      </w:r>
      <w:r>
        <w:rPr>
          <w:rFonts w:hint="default"/>
          <w:lang w:val="en-US" w:eastAsia="zh-CN"/>
        </w:rPr>
        <w:t>。</w:t>
      </w:r>
    </w:p>
    <w:p w14:paraId="3432B238">
      <w:pPr>
        <w:bidi w:val="0"/>
        <w:rPr>
          <w:rFonts w:hint="default"/>
          <w:lang w:val="en-US" w:eastAsia="zh-CN"/>
        </w:rPr>
      </w:pPr>
      <w:r>
        <w:rPr>
          <w:rFonts w:hint="default"/>
          <w:lang w:val="en-US" w:eastAsia="zh-CN"/>
        </w:rPr>
        <w:t>“</w:t>
      </w:r>
      <w:r>
        <w:rPr>
          <w:rFonts w:hint="eastAsia"/>
          <w:lang w:val="en-US" w:eastAsia="zh-CN"/>
        </w:rPr>
        <w:t>发放重度残疾人护理补贴人数</w:t>
      </w:r>
      <w:r>
        <w:rPr>
          <w:rFonts w:hint="default"/>
          <w:lang w:val="en-US" w:eastAsia="zh-CN"/>
        </w:rPr>
        <w:t>”指标，预期指标值为</w:t>
      </w:r>
      <w:r>
        <w:rPr>
          <w:rFonts w:hint="eastAsia"/>
          <w:lang w:val="en-US" w:eastAsia="zh-CN"/>
        </w:rPr>
        <w:t>大于等于8771人</w:t>
      </w:r>
      <w:r>
        <w:rPr>
          <w:rFonts w:hint="default"/>
          <w:lang w:val="en-US" w:eastAsia="zh-CN"/>
        </w:rPr>
        <w:t>。</w:t>
      </w:r>
    </w:p>
    <w:p w14:paraId="0A29A345">
      <w:pPr>
        <w:bidi w:val="0"/>
        <w:rPr>
          <w:rFonts w:hint="default"/>
          <w:lang w:val="en-US" w:eastAsia="zh-CN"/>
        </w:rPr>
      </w:pPr>
      <w:r>
        <w:rPr>
          <w:rFonts w:hint="default"/>
          <w:lang w:val="en-US" w:eastAsia="zh-CN"/>
        </w:rPr>
        <w:t>产出质量</w:t>
      </w:r>
    </w:p>
    <w:p w14:paraId="7F1A92A7">
      <w:pPr>
        <w:bidi w:val="0"/>
        <w:rPr>
          <w:rFonts w:hint="default"/>
          <w:lang w:val="en-US" w:eastAsia="zh-CN"/>
        </w:rPr>
      </w:pPr>
      <w:r>
        <w:rPr>
          <w:rFonts w:hint="default"/>
          <w:lang w:val="en-US" w:eastAsia="zh-CN"/>
        </w:rPr>
        <w:t>“</w:t>
      </w:r>
      <w:r>
        <w:rPr>
          <w:rFonts w:hint="eastAsia"/>
          <w:lang w:val="en-US" w:eastAsia="zh-CN"/>
        </w:rPr>
        <w:t>补助人员身份审核合格率</w:t>
      </w:r>
      <w:r>
        <w:rPr>
          <w:rFonts w:hint="default"/>
          <w:lang w:val="en-US" w:eastAsia="zh-CN"/>
        </w:rPr>
        <w:t>”指标，预期指标值为</w:t>
      </w:r>
      <w:r>
        <w:rPr>
          <w:rFonts w:hint="eastAsia"/>
          <w:lang w:val="en-US" w:eastAsia="zh-CN"/>
        </w:rPr>
        <w:t>等于100%</w:t>
      </w:r>
      <w:r>
        <w:rPr>
          <w:rFonts w:hint="default"/>
          <w:lang w:val="en-US" w:eastAsia="zh-CN"/>
        </w:rPr>
        <w:t>。</w:t>
      </w:r>
    </w:p>
    <w:p w14:paraId="58E0071F">
      <w:pPr>
        <w:bidi w:val="0"/>
        <w:rPr>
          <w:rFonts w:hint="default"/>
          <w:lang w:val="en-US" w:eastAsia="zh-CN"/>
        </w:rPr>
      </w:pPr>
      <w:r>
        <w:rPr>
          <w:rFonts w:hint="default"/>
          <w:lang w:val="en-US" w:eastAsia="zh-CN"/>
        </w:rPr>
        <w:t>产出时效</w:t>
      </w:r>
    </w:p>
    <w:p w14:paraId="12342830">
      <w:pPr>
        <w:bidi w:val="0"/>
        <w:rPr>
          <w:rFonts w:hint="default"/>
          <w:lang w:val="en-US" w:eastAsia="zh-CN"/>
        </w:rPr>
      </w:pPr>
      <w:r>
        <w:rPr>
          <w:rFonts w:hint="default"/>
          <w:lang w:val="en-US" w:eastAsia="zh-CN"/>
        </w:rPr>
        <w:t>“</w:t>
      </w:r>
      <w:r>
        <w:rPr>
          <w:rFonts w:hint="eastAsia"/>
          <w:lang w:val="en-US" w:eastAsia="zh-CN"/>
        </w:rPr>
        <w:t>补助月数</w:t>
      </w:r>
      <w:r>
        <w:rPr>
          <w:rFonts w:hint="default"/>
          <w:lang w:val="en-US" w:eastAsia="zh-CN"/>
        </w:rPr>
        <w:t>”指标，预期指标值为</w:t>
      </w:r>
      <w:r>
        <w:rPr>
          <w:rFonts w:hint="eastAsia"/>
          <w:lang w:val="en-US" w:eastAsia="zh-CN"/>
        </w:rPr>
        <w:t>等于12个月</w:t>
      </w:r>
      <w:r>
        <w:rPr>
          <w:rFonts w:hint="default"/>
          <w:lang w:val="en-US" w:eastAsia="zh-CN"/>
        </w:rPr>
        <w:t>。</w:t>
      </w:r>
    </w:p>
    <w:p w14:paraId="2FE0983F">
      <w:pPr>
        <w:bidi w:val="0"/>
        <w:rPr>
          <w:rFonts w:hint="default"/>
          <w:lang w:val="en-US" w:eastAsia="zh-CN"/>
        </w:rPr>
      </w:pPr>
      <w:r>
        <w:rPr>
          <w:rFonts w:hint="default"/>
          <w:lang w:val="en-US" w:eastAsia="zh-CN"/>
        </w:rPr>
        <w:t>“</w:t>
      </w:r>
      <w:r>
        <w:rPr>
          <w:rFonts w:hint="eastAsia"/>
          <w:lang w:val="en-US" w:eastAsia="zh-CN"/>
        </w:rPr>
        <w:t>补助发放时间</w:t>
      </w:r>
      <w:r>
        <w:rPr>
          <w:rFonts w:hint="default"/>
          <w:lang w:val="en-US" w:eastAsia="zh-CN"/>
        </w:rPr>
        <w:t>”指标，预期指标值为</w:t>
      </w:r>
      <w:r>
        <w:rPr>
          <w:rFonts w:hint="eastAsia"/>
          <w:lang w:val="en-US" w:eastAsia="zh-CN"/>
        </w:rPr>
        <w:t>每月15日之前</w:t>
      </w:r>
      <w:r>
        <w:rPr>
          <w:rFonts w:hint="default"/>
          <w:lang w:val="en-US" w:eastAsia="zh-CN"/>
        </w:rPr>
        <w:t>。</w:t>
      </w:r>
    </w:p>
    <w:p w14:paraId="490A42FC">
      <w:pPr>
        <w:bidi w:val="0"/>
        <w:rPr>
          <w:rFonts w:hint="default"/>
          <w:lang w:val="en-US" w:eastAsia="zh-CN"/>
        </w:rPr>
      </w:pPr>
      <w:r>
        <w:rPr>
          <w:rFonts w:hint="eastAsia"/>
          <w:lang w:val="en-US" w:eastAsia="zh-CN"/>
        </w:rPr>
        <w:t>（2）</w:t>
      </w:r>
      <w:r>
        <w:rPr>
          <w:rFonts w:hint="default"/>
          <w:lang w:val="en-US" w:eastAsia="zh-CN"/>
        </w:rPr>
        <w:t>成本</w:t>
      </w:r>
      <w:r>
        <w:rPr>
          <w:rFonts w:hint="eastAsia"/>
          <w:lang w:val="en-US" w:eastAsia="zh-CN"/>
        </w:rPr>
        <w:t>目标</w:t>
      </w:r>
    </w:p>
    <w:p w14:paraId="39C61C91">
      <w:pPr>
        <w:bidi w:val="0"/>
        <w:rPr>
          <w:rFonts w:hint="default"/>
          <w:lang w:val="en-US" w:eastAsia="zh-CN"/>
        </w:rPr>
      </w:pPr>
      <w:r>
        <w:rPr>
          <w:rFonts w:hint="default"/>
          <w:lang w:val="en-US" w:eastAsia="zh-CN"/>
        </w:rPr>
        <w:t>“</w:t>
      </w:r>
      <w:r>
        <w:rPr>
          <w:rFonts w:hint="eastAsia"/>
          <w:lang w:val="en-US" w:eastAsia="zh-CN"/>
        </w:rPr>
        <w:t>困难残疾人生活补贴标准</w:t>
      </w:r>
      <w:r>
        <w:rPr>
          <w:rFonts w:hint="default"/>
          <w:lang w:val="en-US" w:eastAsia="zh-CN"/>
        </w:rPr>
        <w:t>”指标，预期指标值为</w:t>
      </w:r>
      <w:r>
        <w:rPr>
          <w:rFonts w:hint="eastAsia"/>
          <w:lang w:val="en-US" w:eastAsia="zh-CN"/>
        </w:rPr>
        <w:t>等于120元/人/月</w:t>
      </w:r>
      <w:r>
        <w:rPr>
          <w:rFonts w:hint="default"/>
          <w:lang w:val="en-US" w:eastAsia="zh-CN"/>
        </w:rPr>
        <w:t>。</w:t>
      </w:r>
    </w:p>
    <w:p w14:paraId="705AAB09">
      <w:pPr>
        <w:bidi w:val="0"/>
        <w:rPr>
          <w:rFonts w:hint="default"/>
          <w:lang w:val="en-US" w:eastAsia="zh-CN"/>
        </w:rPr>
      </w:pPr>
      <w:r>
        <w:rPr>
          <w:rFonts w:hint="default"/>
          <w:lang w:val="en-US" w:eastAsia="zh-CN"/>
        </w:rPr>
        <w:t>“</w:t>
      </w:r>
      <w:r>
        <w:rPr>
          <w:rFonts w:hint="eastAsia"/>
          <w:lang w:val="en-US" w:eastAsia="zh-CN"/>
        </w:rPr>
        <w:t>重度残疾人护理补贴标准</w:t>
      </w:r>
      <w:r>
        <w:rPr>
          <w:rFonts w:hint="default"/>
          <w:lang w:val="en-US" w:eastAsia="zh-CN"/>
        </w:rPr>
        <w:t>”指标，预期指标值为</w:t>
      </w:r>
      <w:r>
        <w:rPr>
          <w:rFonts w:hint="eastAsia"/>
          <w:lang w:val="en-US" w:eastAsia="zh-CN"/>
        </w:rPr>
        <w:t>等于120元/人/月</w:t>
      </w:r>
      <w:r>
        <w:rPr>
          <w:rFonts w:hint="default"/>
          <w:lang w:val="en-US" w:eastAsia="zh-CN"/>
        </w:rPr>
        <w:t>。</w:t>
      </w:r>
    </w:p>
    <w:p w14:paraId="3D434519">
      <w:pPr>
        <w:bidi w:val="0"/>
        <w:rPr>
          <w:rFonts w:hint="default"/>
          <w:lang w:val="en-US" w:eastAsia="zh-CN"/>
        </w:rPr>
      </w:pPr>
      <w:r>
        <w:rPr>
          <w:rFonts w:hint="eastAsia"/>
          <w:lang w:val="en-US" w:eastAsia="zh-CN"/>
        </w:rPr>
        <w:t>（3）</w:t>
      </w:r>
      <w:r>
        <w:rPr>
          <w:rFonts w:hint="default"/>
          <w:lang w:val="en-US" w:eastAsia="zh-CN"/>
        </w:rPr>
        <w:t>项目效益目标</w:t>
      </w:r>
    </w:p>
    <w:p w14:paraId="21F8CDD5">
      <w:pPr>
        <w:bidi w:val="0"/>
        <w:rPr>
          <w:rFonts w:hint="default"/>
          <w:lang w:val="en-US" w:eastAsia="zh-CN"/>
        </w:rPr>
      </w:pPr>
      <w:r>
        <w:rPr>
          <w:rFonts w:hint="default"/>
          <w:lang w:val="en-US" w:eastAsia="zh-CN"/>
        </w:rPr>
        <w:t>社会效益指标</w:t>
      </w:r>
    </w:p>
    <w:p w14:paraId="1A0B3C83">
      <w:pPr>
        <w:bidi w:val="0"/>
        <w:rPr>
          <w:rFonts w:hint="default"/>
          <w:lang w:val="en-US" w:eastAsia="zh-CN"/>
        </w:rPr>
      </w:pPr>
      <w:r>
        <w:rPr>
          <w:rFonts w:hint="default"/>
          <w:lang w:val="en-US" w:eastAsia="zh-CN"/>
        </w:rPr>
        <w:t>“</w:t>
      </w:r>
      <w:r>
        <w:rPr>
          <w:rFonts w:hint="eastAsia"/>
          <w:lang w:val="en-US" w:eastAsia="zh-CN"/>
        </w:rPr>
        <w:t>提升残疾人生活质量</w:t>
      </w:r>
      <w:r>
        <w:rPr>
          <w:rFonts w:hint="default"/>
          <w:lang w:val="en-US" w:eastAsia="zh-CN"/>
        </w:rPr>
        <w:t>”指标，预期指标值为</w:t>
      </w:r>
      <w:r>
        <w:rPr>
          <w:rFonts w:hint="eastAsia"/>
          <w:lang w:val="en-US" w:eastAsia="zh-CN"/>
        </w:rPr>
        <w:t>有效提升</w:t>
      </w:r>
      <w:r>
        <w:rPr>
          <w:rFonts w:hint="default"/>
          <w:lang w:val="en-US" w:eastAsia="zh-CN"/>
        </w:rPr>
        <w:t>。</w:t>
      </w:r>
    </w:p>
    <w:p w14:paraId="4DD404D8">
      <w:pPr>
        <w:bidi w:val="0"/>
        <w:rPr>
          <w:rFonts w:hint="default"/>
          <w:lang w:val="en-US" w:eastAsia="zh-CN"/>
        </w:rPr>
      </w:pPr>
      <w:r>
        <w:rPr>
          <w:rFonts w:hint="eastAsia"/>
          <w:lang w:val="en-US" w:eastAsia="zh-CN"/>
        </w:rPr>
        <w:t>（4）满意度目标</w:t>
      </w:r>
    </w:p>
    <w:p w14:paraId="2C9621E4">
      <w:pPr>
        <w:bidi w:val="0"/>
        <w:rPr>
          <w:rFonts w:hint="default"/>
          <w:lang w:val="en-US" w:eastAsia="zh-CN"/>
        </w:rPr>
      </w:pPr>
      <w:r>
        <w:rPr>
          <w:rFonts w:hint="default"/>
          <w:lang w:val="en-US" w:eastAsia="zh-CN"/>
        </w:rPr>
        <w:t>服务对象满意度指标</w:t>
      </w:r>
    </w:p>
    <w:p w14:paraId="64580539">
      <w:pPr>
        <w:bidi w:val="0"/>
        <w:rPr>
          <w:rFonts w:hint="default"/>
          <w:lang w:val="en-US" w:eastAsia="zh-CN"/>
        </w:rPr>
      </w:pPr>
      <w:r>
        <w:rPr>
          <w:rFonts w:hint="default"/>
          <w:lang w:val="en-US" w:eastAsia="zh-CN"/>
        </w:rPr>
        <w:t>“</w:t>
      </w:r>
      <w:r>
        <w:rPr>
          <w:rFonts w:hint="eastAsia"/>
          <w:lang w:val="en-US" w:eastAsia="zh-CN"/>
        </w:rPr>
        <w:t>受助对象满意度</w:t>
      </w:r>
      <w:r>
        <w:rPr>
          <w:rFonts w:hint="default"/>
          <w:lang w:val="en-US" w:eastAsia="zh-CN"/>
        </w:rPr>
        <w:t>”指标，预期指标值为</w:t>
      </w:r>
      <w:r>
        <w:rPr>
          <w:rFonts w:hint="eastAsia"/>
          <w:lang w:val="en-US" w:eastAsia="zh-CN"/>
        </w:rPr>
        <w:t>大于等于95%</w:t>
      </w:r>
      <w:r>
        <w:rPr>
          <w:rFonts w:hint="default"/>
          <w:lang w:val="en-US" w:eastAsia="zh-CN"/>
        </w:rPr>
        <w:t>。</w:t>
      </w:r>
    </w:p>
    <w:p w14:paraId="0FAD647B">
      <w:pPr>
        <w:pStyle w:val="5"/>
        <w:bidi w:val="0"/>
        <w:rPr>
          <w:rFonts w:hint="default"/>
          <w:lang w:eastAsia="zh-CN"/>
        </w:rPr>
      </w:pPr>
      <w:bookmarkStart w:id="35" w:name="_Toc18208"/>
      <w:bookmarkStart w:id="36" w:name="_Toc8624"/>
      <w:bookmarkStart w:id="37" w:name="_Toc3546"/>
      <w:bookmarkStart w:id="38" w:name="_Toc21776"/>
      <w:bookmarkStart w:id="39" w:name="_Toc14544"/>
      <w:bookmarkStart w:id="40" w:name="_Toc5159"/>
      <w:bookmarkStart w:id="41" w:name="_Toc18168"/>
      <w:r>
        <w:rPr>
          <w:rFonts w:hint="default"/>
          <w:lang w:eastAsia="zh-CN"/>
        </w:rPr>
        <w:t>二、绩效评价情况</w:t>
      </w:r>
      <w:bookmarkEnd w:id="35"/>
      <w:bookmarkEnd w:id="36"/>
      <w:bookmarkEnd w:id="37"/>
      <w:bookmarkEnd w:id="38"/>
      <w:bookmarkEnd w:id="39"/>
      <w:bookmarkEnd w:id="40"/>
      <w:bookmarkEnd w:id="41"/>
    </w:p>
    <w:p w14:paraId="408FFF78">
      <w:pPr>
        <w:pStyle w:val="6"/>
        <w:bidi w:val="0"/>
        <w:rPr>
          <w:rFonts w:hint="default"/>
          <w:lang w:eastAsia="zh-CN"/>
        </w:rPr>
      </w:pPr>
      <w:bookmarkStart w:id="42" w:name="_Toc6196"/>
      <w:bookmarkStart w:id="43" w:name="_Toc7322"/>
      <w:bookmarkStart w:id="44" w:name="_Toc5479"/>
      <w:bookmarkStart w:id="45" w:name="_Toc18989"/>
      <w:bookmarkStart w:id="46" w:name="_Toc21209"/>
      <w:bookmarkStart w:id="47" w:name="_Toc5421"/>
      <w:bookmarkStart w:id="48" w:name="_Toc16180"/>
      <w:r>
        <w:rPr>
          <w:rFonts w:hint="default"/>
          <w:lang w:eastAsia="zh-CN"/>
        </w:rPr>
        <w:t>（一）评价结论</w:t>
      </w:r>
      <w:bookmarkEnd w:id="42"/>
      <w:bookmarkEnd w:id="43"/>
      <w:bookmarkEnd w:id="44"/>
      <w:bookmarkEnd w:id="45"/>
      <w:bookmarkEnd w:id="46"/>
      <w:bookmarkEnd w:id="47"/>
      <w:bookmarkEnd w:id="48"/>
    </w:p>
    <w:p w14:paraId="35A5197A">
      <w:pPr>
        <w:bidi w:val="0"/>
        <w:rPr>
          <w:rFonts w:hint="default"/>
          <w:lang w:eastAsia="zh-CN"/>
        </w:rPr>
      </w:pPr>
      <w:r>
        <w:rPr>
          <w:rFonts w:hint="eastAsia"/>
        </w:rPr>
        <w:t>依据《</w:t>
      </w:r>
      <w:r>
        <w:rPr>
          <w:rFonts w:hint="eastAsia"/>
          <w:lang w:eastAsia="zh-CN"/>
        </w:rPr>
        <w:t>中共中央、国务院</w:t>
      </w:r>
      <w:r>
        <w:rPr>
          <w:rFonts w:hint="eastAsia"/>
        </w:rPr>
        <w:t>关于全面实施预算绩效管理的意见》及《关于进一步加强和规范喀什地区项目支出“全过程”预算绩效管理结果应用的通知》（喀地财绩〔2022〕2号）文件，绩效评价总分设置为100分，划分为四档：90（含）-100分为优、80（含）-90分为良、</w:t>
      </w:r>
      <w:r>
        <w:rPr>
          <w:rFonts w:hint="eastAsia"/>
          <w:lang w:val="en-US" w:eastAsia="zh-CN"/>
        </w:rPr>
        <w:t>70</w:t>
      </w:r>
      <w:r>
        <w:rPr>
          <w:rFonts w:hint="eastAsia"/>
        </w:rPr>
        <w:t>（含）-80分为中、</w:t>
      </w:r>
      <w:r>
        <w:rPr>
          <w:rFonts w:hint="eastAsia"/>
          <w:lang w:val="en-US" w:eastAsia="zh-CN"/>
        </w:rPr>
        <w:t>70</w:t>
      </w:r>
      <w:r>
        <w:rPr>
          <w:rFonts w:hint="eastAsia"/>
        </w:rPr>
        <w:t>分以下为差。运用由项目组制订评价指标体系及评分标准，该项目最终评分</w:t>
      </w:r>
      <w:r>
        <w:rPr>
          <w:rFonts w:hint="eastAsia"/>
          <w:lang w:val="en-US" w:eastAsia="zh-CN"/>
        </w:rPr>
        <w:t>99</w:t>
      </w:r>
      <w:r>
        <w:rPr>
          <w:rFonts w:hint="eastAsia"/>
        </w:rPr>
        <w:t>分，绩效评级为“</w:t>
      </w:r>
      <w:r>
        <w:rPr>
          <w:rFonts w:hint="eastAsia"/>
          <w:lang w:eastAsia="zh-CN"/>
        </w:rPr>
        <w:t>优</w:t>
      </w:r>
      <w:r>
        <w:rPr>
          <w:rFonts w:hint="eastAsia"/>
        </w:rPr>
        <w:t>”，具体得分情况为：项目决策</w:t>
      </w:r>
      <w:r>
        <w:rPr>
          <w:rFonts w:hint="eastAsia"/>
          <w:lang w:val="en-US" w:eastAsia="zh-CN"/>
        </w:rPr>
        <w:t>20</w:t>
      </w:r>
      <w:r>
        <w:rPr>
          <w:rFonts w:hint="eastAsia"/>
        </w:rPr>
        <w:t>分、项目过程</w:t>
      </w:r>
      <w:r>
        <w:rPr>
          <w:rFonts w:hint="eastAsia"/>
          <w:lang w:val="en-US" w:eastAsia="zh-CN"/>
        </w:rPr>
        <w:t>19</w:t>
      </w:r>
      <w:r>
        <w:rPr>
          <w:rFonts w:hint="eastAsia"/>
        </w:rPr>
        <w:t>分、项目产出</w:t>
      </w:r>
      <w:r>
        <w:rPr>
          <w:rFonts w:hint="eastAsia"/>
          <w:lang w:val="en-US" w:eastAsia="zh-CN"/>
        </w:rPr>
        <w:t>40</w:t>
      </w:r>
      <w:r>
        <w:rPr>
          <w:rFonts w:hint="eastAsia"/>
        </w:rPr>
        <w:t>分、项目效益</w:t>
      </w:r>
      <w:r>
        <w:rPr>
          <w:rFonts w:hint="eastAsia"/>
          <w:lang w:val="en-US" w:eastAsia="zh-CN"/>
        </w:rPr>
        <w:t>20</w:t>
      </w:r>
      <w:r>
        <w:rPr>
          <w:rFonts w:hint="eastAsia"/>
        </w:rPr>
        <w:t>分。</w:t>
      </w:r>
    </w:p>
    <w:p w14:paraId="4D2A340B">
      <w:pPr>
        <w:pStyle w:val="6"/>
        <w:bidi w:val="0"/>
        <w:rPr>
          <w:rFonts w:hint="default"/>
          <w:lang w:eastAsia="zh-CN"/>
        </w:rPr>
      </w:pPr>
      <w:bookmarkStart w:id="49" w:name="_Toc8721"/>
      <w:bookmarkStart w:id="50" w:name="_Toc13503"/>
      <w:bookmarkStart w:id="51" w:name="_Toc12618"/>
      <w:bookmarkStart w:id="52" w:name="_Toc18197"/>
      <w:bookmarkStart w:id="53" w:name="_Toc7498"/>
      <w:bookmarkStart w:id="54" w:name="_Toc10187"/>
      <w:bookmarkStart w:id="55" w:name="_Toc27816"/>
      <w:r>
        <w:rPr>
          <w:rFonts w:hint="eastAsia"/>
          <w:lang w:eastAsia="zh-CN"/>
        </w:rPr>
        <w:t>（二）</w:t>
      </w:r>
      <w:r>
        <w:rPr>
          <w:rFonts w:hint="default"/>
          <w:lang w:eastAsia="zh-CN"/>
        </w:rPr>
        <w:t>预算执行情况</w:t>
      </w:r>
      <w:bookmarkEnd w:id="49"/>
      <w:bookmarkEnd w:id="50"/>
      <w:bookmarkEnd w:id="51"/>
      <w:bookmarkEnd w:id="52"/>
      <w:bookmarkEnd w:id="53"/>
      <w:bookmarkEnd w:id="54"/>
      <w:bookmarkEnd w:id="55"/>
    </w:p>
    <w:p w14:paraId="69E72994">
      <w:pPr>
        <w:bidi w:val="0"/>
        <w:rPr>
          <w:rFonts w:hint="default"/>
          <w:lang w:eastAsia="zh-CN"/>
        </w:rPr>
      </w:pPr>
      <w:r>
        <w:rPr>
          <w:rFonts w:hint="eastAsia"/>
        </w:rPr>
        <w:t>该项目预算资金总额为</w:t>
      </w:r>
      <w:r>
        <w:rPr>
          <w:rFonts w:hint="eastAsia"/>
          <w:lang w:val="en-US" w:eastAsia="zh-CN"/>
        </w:rPr>
        <w:t>2941</w:t>
      </w:r>
      <w:r>
        <w:rPr>
          <w:rFonts w:hint="eastAsia"/>
        </w:rPr>
        <w:t>万元，其中：财政资金</w:t>
      </w:r>
      <w:r>
        <w:rPr>
          <w:rFonts w:hint="eastAsia"/>
          <w:lang w:val="en-US" w:eastAsia="zh-CN"/>
        </w:rPr>
        <w:t>2941</w:t>
      </w:r>
      <w:r>
        <w:rPr>
          <w:rFonts w:hint="eastAsia"/>
        </w:rPr>
        <w:t>万元，其他资金</w:t>
      </w:r>
      <w:r>
        <w:rPr>
          <w:rFonts w:hint="eastAsia"/>
          <w:lang w:val="en-US" w:eastAsia="zh-CN"/>
        </w:rPr>
        <w:t>0</w:t>
      </w:r>
      <w:r>
        <w:rPr>
          <w:rFonts w:hint="eastAsia"/>
        </w:rPr>
        <w:t>万元；实际到位资金</w:t>
      </w:r>
      <w:r>
        <w:rPr>
          <w:rFonts w:hint="eastAsia"/>
          <w:lang w:val="en-US" w:eastAsia="zh-CN"/>
        </w:rPr>
        <w:t>2941</w:t>
      </w:r>
      <w:r>
        <w:rPr>
          <w:rFonts w:hint="eastAsia"/>
        </w:rPr>
        <w:t>万元，其中：财政资金</w:t>
      </w:r>
      <w:r>
        <w:rPr>
          <w:rFonts w:hint="eastAsia"/>
          <w:lang w:val="en-US" w:eastAsia="zh-CN"/>
        </w:rPr>
        <w:t>2941</w:t>
      </w:r>
      <w:r>
        <w:rPr>
          <w:rFonts w:hint="eastAsia"/>
        </w:rPr>
        <w:t>万元，其他资金</w:t>
      </w:r>
      <w:r>
        <w:rPr>
          <w:rFonts w:hint="eastAsia"/>
          <w:lang w:val="en-US" w:eastAsia="zh-CN"/>
        </w:rPr>
        <w:t>0</w:t>
      </w:r>
      <w:r>
        <w:rPr>
          <w:rFonts w:hint="eastAsia"/>
        </w:rPr>
        <w:t>万元，资金到位率为</w:t>
      </w:r>
      <w:r>
        <w:rPr>
          <w:rFonts w:hint="eastAsia"/>
          <w:lang w:val="en-US" w:eastAsia="zh-CN"/>
        </w:rPr>
        <w:t>100</w:t>
      </w:r>
      <w:r>
        <w:rPr>
          <w:rFonts w:hint="eastAsia"/>
        </w:rPr>
        <w:t>%；该项目实际支出资金总额为</w:t>
      </w:r>
      <w:r>
        <w:rPr>
          <w:rFonts w:hint="eastAsia"/>
          <w:lang w:val="en-US" w:eastAsia="zh-CN"/>
        </w:rPr>
        <w:t>2940.86</w:t>
      </w:r>
      <w:r>
        <w:rPr>
          <w:rFonts w:hint="eastAsia"/>
        </w:rPr>
        <w:t>万元，预算资金执行率为</w:t>
      </w:r>
      <w:r>
        <w:rPr>
          <w:rFonts w:hint="eastAsia"/>
          <w:lang w:val="en-US" w:eastAsia="zh-CN"/>
        </w:rPr>
        <w:t>99.995</w:t>
      </w:r>
      <w:r>
        <w:rPr>
          <w:rFonts w:hint="eastAsia"/>
        </w:rPr>
        <w:t>%</w:t>
      </w:r>
      <w:r>
        <w:rPr>
          <w:rFonts w:hint="eastAsia"/>
          <w:lang w:eastAsia="zh-CN"/>
        </w:rPr>
        <w:t>，基本全额执行</w:t>
      </w:r>
      <w:r>
        <w:rPr>
          <w:rFonts w:hint="eastAsia"/>
        </w:rPr>
        <w:t>。</w:t>
      </w:r>
    </w:p>
    <w:p w14:paraId="36107204">
      <w:pPr>
        <w:pStyle w:val="6"/>
        <w:numPr>
          <w:ilvl w:val="0"/>
          <w:numId w:val="1"/>
        </w:numPr>
        <w:bidi w:val="0"/>
        <w:rPr>
          <w:rFonts w:hint="default"/>
          <w:lang w:eastAsia="zh-CN"/>
        </w:rPr>
      </w:pPr>
      <w:bookmarkStart w:id="56" w:name="_Toc9486"/>
      <w:bookmarkStart w:id="57" w:name="_Toc3944"/>
      <w:bookmarkStart w:id="58" w:name="_Toc21637"/>
      <w:bookmarkStart w:id="59" w:name="_Toc3659"/>
      <w:bookmarkStart w:id="60" w:name="_Toc4940"/>
      <w:bookmarkStart w:id="61" w:name="_Toc28340"/>
      <w:bookmarkStart w:id="62" w:name="_Toc2633"/>
      <w:r>
        <w:rPr>
          <w:rFonts w:hint="default"/>
          <w:lang w:eastAsia="zh-CN"/>
        </w:rPr>
        <w:t>项目绩效情况</w:t>
      </w:r>
      <w:bookmarkEnd w:id="56"/>
      <w:bookmarkEnd w:id="57"/>
      <w:bookmarkEnd w:id="58"/>
      <w:bookmarkEnd w:id="59"/>
      <w:bookmarkEnd w:id="60"/>
      <w:bookmarkEnd w:id="61"/>
      <w:bookmarkEnd w:id="62"/>
    </w:p>
    <w:p w14:paraId="53DEE78F">
      <w:pPr>
        <w:bidi w:val="0"/>
        <w:rPr>
          <w:rFonts w:hint="default"/>
          <w:lang w:eastAsia="zh-CN"/>
        </w:rPr>
      </w:pPr>
      <w:r>
        <w:rPr>
          <w:rFonts w:hint="eastAsia"/>
          <w:lang w:val="en-US" w:eastAsia="zh-CN"/>
        </w:rPr>
        <w:t>该项目预算资金总额为2941万元，其中：财政资金2941万元，其他资金0万元。根据《关于提高全区困难残疾人生活补贴和重度残疾人护理补贴标准的通知》（新民发〔2024〕53号）《关于提前下达2025年自治区财政困难残疾人生活补贴和重度残疾人护理补贴补助资金的通知》（喀地财社〔2024〕67号）文件，实际到位资金2941万元，其中：财政资金2941万元，其他资金0万元，资金到位率为100%。截至2025年12月31日，项目实际支出2940.86万元，项目预算执行率99.995%，基本全额执行。资金主要用于发放全县11825名困难残疾人生活补贴和全县8771名重度残疾人护理补贴，标准均为120元/人/月，有效提升残疾人的生活质量，改善残疾人生活条件。</w:t>
      </w:r>
    </w:p>
    <w:p w14:paraId="3F975AD6">
      <w:pPr>
        <w:pStyle w:val="5"/>
        <w:bidi w:val="0"/>
        <w:rPr>
          <w:rFonts w:hint="default"/>
          <w:lang w:eastAsia="zh-CN"/>
        </w:rPr>
      </w:pPr>
      <w:bookmarkStart w:id="63" w:name="_Toc27768"/>
      <w:bookmarkStart w:id="64" w:name="_Toc6304"/>
      <w:bookmarkStart w:id="65" w:name="_Toc32668"/>
      <w:bookmarkStart w:id="66" w:name="_Toc3878"/>
      <w:bookmarkStart w:id="67" w:name="_Toc18176"/>
      <w:bookmarkStart w:id="68" w:name="_Toc22749"/>
      <w:bookmarkStart w:id="69" w:name="_Toc30208"/>
      <w:r>
        <w:rPr>
          <w:rFonts w:hint="default"/>
          <w:lang w:eastAsia="zh-CN"/>
        </w:rPr>
        <w:t>三、经验、问题和建议</w:t>
      </w:r>
      <w:bookmarkEnd w:id="63"/>
      <w:bookmarkEnd w:id="64"/>
      <w:bookmarkEnd w:id="65"/>
      <w:bookmarkEnd w:id="66"/>
      <w:bookmarkEnd w:id="67"/>
      <w:bookmarkEnd w:id="68"/>
      <w:bookmarkEnd w:id="69"/>
    </w:p>
    <w:p w14:paraId="1A96C833">
      <w:pPr>
        <w:pStyle w:val="6"/>
        <w:bidi w:val="0"/>
        <w:rPr>
          <w:rFonts w:hint="default"/>
          <w:lang w:eastAsia="zh-CN"/>
        </w:rPr>
      </w:pPr>
      <w:bookmarkStart w:id="70" w:name="_Toc24716"/>
      <w:bookmarkStart w:id="71" w:name="_Toc15909"/>
      <w:bookmarkStart w:id="72" w:name="_Toc19868"/>
      <w:bookmarkStart w:id="73" w:name="_Toc27544"/>
      <w:bookmarkStart w:id="74" w:name="_Toc31508"/>
      <w:bookmarkStart w:id="75" w:name="_Toc12810"/>
      <w:bookmarkStart w:id="76" w:name="_Toc13993"/>
      <w:r>
        <w:rPr>
          <w:rFonts w:hint="default"/>
          <w:lang w:eastAsia="zh-CN"/>
        </w:rPr>
        <w:t>（一）主要经验及做法</w:t>
      </w:r>
      <w:bookmarkEnd w:id="70"/>
      <w:bookmarkEnd w:id="71"/>
      <w:bookmarkEnd w:id="72"/>
      <w:bookmarkEnd w:id="73"/>
      <w:bookmarkEnd w:id="74"/>
      <w:bookmarkEnd w:id="75"/>
      <w:bookmarkEnd w:id="76"/>
    </w:p>
    <w:p w14:paraId="4A743E21">
      <w:pPr>
        <w:bidi w:val="0"/>
        <w:rPr>
          <w:rFonts w:hint="eastAsia"/>
          <w:lang w:val="en-US" w:eastAsia="zh-CN"/>
        </w:rPr>
      </w:pPr>
      <w:bookmarkStart w:id="77" w:name="_Toc24483"/>
      <w:r>
        <w:rPr>
          <w:rFonts w:hint="eastAsia"/>
          <w:lang w:val="en-US" w:eastAsia="zh-CN"/>
        </w:rPr>
        <w:t>1.建立资格复核与问题整改闭环机制，常态化组织乡镇开展补贴对象资格线下复核，主动筛查长期未动态更新的享受人员信息，一旦核查发现已故人员违规领取补贴，立即办理停发手续并追缴多发资金，2025年累计追回违规领取残疾人两项补贴360元，实现问题闭环处置。同时搭建多部门信息比对渠道，初步建立资格动态核查基础流程，从源头降低错发、冒领风险。</w:t>
      </w:r>
    </w:p>
    <w:p w14:paraId="47B54E3C">
      <w:pPr>
        <w:bidi w:val="0"/>
        <w:rPr>
          <w:rFonts w:hint="eastAsia"/>
          <w:lang w:val="en-US" w:eastAsia="zh-CN"/>
        </w:rPr>
      </w:pPr>
      <w:r>
        <w:rPr>
          <w:rFonts w:hint="eastAsia"/>
          <w:lang w:val="en-US" w:eastAsia="zh-CN"/>
        </w:rPr>
        <w:t>2.推进多部门信息共享比对，逐步实现补贴对象资格动态核查，从源头减少错发、冒领问题，提升了补贴发放的精准度；规范追回资金管理流程，对追回的违规补贴资金，建立专项台账，明确追回金额、对象、时间节点，确保资金全额缴回，实现了问题资金的规范处置。</w:t>
      </w:r>
    </w:p>
    <w:p w14:paraId="4548DA43">
      <w:pPr>
        <w:bidi w:val="0"/>
        <w:rPr>
          <w:rFonts w:hint="eastAsia" w:ascii="方正仿宋_GBK" w:hAnsi="方正仿宋_GBK" w:eastAsia="方正仿宋_GBK" w:cs="方正仿宋_GBK"/>
          <w:b w:val="0"/>
          <w:bCs w:val="0"/>
          <w:highlight w:val="none"/>
          <w:lang w:val="en-US" w:eastAsia="zh-CN"/>
        </w:rPr>
      </w:pPr>
      <w:r>
        <w:rPr>
          <w:rFonts w:hint="eastAsia"/>
          <w:lang w:val="en-US" w:eastAsia="zh-CN"/>
        </w:rPr>
        <w:t>3.优化服务与宣传，提升政策知晓度和群众获得感，通过村（社区）公告、入户走访、政策咨询等方式，向残疾人及家属宣传残疾人两项补贴的申请条件、办理流程和发放标准，同时为行动不便的残疾人提供代办、上门核验等便民服务，保障了符合条件的残疾人及时享受政策福利。</w:t>
      </w:r>
    </w:p>
    <w:p w14:paraId="012E334C">
      <w:pPr>
        <w:pStyle w:val="6"/>
        <w:bidi w:val="0"/>
        <w:rPr>
          <w:rFonts w:hint="default"/>
          <w:lang w:eastAsia="zh-CN"/>
        </w:rPr>
      </w:pPr>
      <w:bookmarkStart w:id="78" w:name="_Toc26783"/>
      <w:bookmarkStart w:id="79" w:name="_Toc21747"/>
      <w:bookmarkStart w:id="80" w:name="_Toc20111"/>
      <w:bookmarkStart w:id="81" w:name="_Toc25950"/>
      <w:bookmarkStart w:id="82" w:name="_Toc22043"/>
      <w:bookmarkStart w:id="83" w:name="_Toc25993"/>
      <w:r>
        <w:rPr>
          <w:rFonts w:hint="default"/>
          <w:lang w:eastAsia="zh-CN"/>
        </w:rPr>
        <w:t>（二）存在问题与不足</w:t>
      </w:r>
      <w:bookmarkEnd w:id="77"/>
      <w:bookmarkEnd w:id="78"/>
      <w:bookmarkEnd w:id="79"/>
      <w:bookmarkEnd w:id="80"/>
      <w:bookmarkEnd w:id="81"/>
      <w:bookmarkEnd w:id="82"/>
      <w:bookmarkEnd w:id="83"/>
    </w:p>
    <w:p w14:paraId="29396C51">
      <w:pPr>
        <w:bidi w:val="0"/>
        <w:rPr>
          <w:rFonts w:hint="eastAsia"/>
          <w:lang w:val="en-US" w:eastAsia="zh-CN"/>
        </w:rPr>
      </w:pPr>
      <w:r>
        <w:rPr>
          <w:rFonts w:hint="eastAsia"/>
          <w:lang w:val="en-US" w:eastAsia="zh-CN"/>
        </w:rPr>
        <w:t>1.出现跨期支付与年末资金缺口。出现2025年1月支付2024年12月缺口补助资金，2025年1月支付2024年12月困难残疾人生活补贴27.22万元、重度残疾人护理补贴27.41万元，属于跨期垫付；2025年12月出现39.46万元资金缺口，影响补贴按时足额发放。原因分析：因拨付上年度遗留的补贴资金缺口，占用了本年度的预算资金额度，导致本年度可用于当期发放的资金不足，形成本年度资金缺口。</w:t>
      </w:r>
    </w:p>
    <w:p w14:paraId="2A38274C">
      <w:pPr>
        <w:bidi w:val="0"/>
        <w:rPr>
          <w:rFonts w:hint="default"/>
          <w:lang w:val="en-US" w:eastAsia="zh-CN"/>
        </w:rPr>
      </w:pPr>
      <w:r>
        <w:rPr>
          <w:rFonts w:hint="eastAsia"/>
          <w:lang w:val="en-US" w:eastAsia="zh-CN"/>
        </w:rPr>
        <w:t>2.跨部门信息联动不足，补贴对象动态更新存在滞后。项目单位虽有人工季度复核机制，但未建立公安、殡葬部门死亡信息月度自动推送机制，人员亡故信息更新存在滞后间隔，无法实时同步更新补贴对象台账，未能做到人员变动当日停发补贴，产生少量多领补贴需追回的情况。全年追回已故人员多领重度残疾人护理补贴、困难残疾人生活补贴共360元。</w:t>
      </w:r>
    </w:p>
    <w:p w14:paraId="79B6A5C7">
      <w:pPr>
        <w:pStyle w:val="6"/>
        <w:bidi w:val="0"/>
        <w:rPr>
          <w:rFonts w:hint="default"/>
          <w:lang w:eastAsia="zh-CN"/>
        </w:rPr>
      </w:pPr>
      <w:bookmarkStart w:id="84" w:name="_Toc17110"/>
      <w:bookmarkStart w:id="85" w:name="_Toc27876"/>
      <w:bookmarkStart w:id="86" w:name="_Toc26346"/>
      <w:bookmarkStart w:id="87" w:name="_Toc13619"/>
      <w:bookmarkStart w:id="88" w:name="_Toc154"/>
      <w:bookmarkStart w:id="89" w:name="_Toc26304"/>
      <w:bookmarkStart w:id="90" w:name="_Toc13410"/>
      <w:r>
        <w:rPr>
          <w:rFonts w:hint="default"/>
          <w:lang w:eastAsia="zh-CN"/>
        </w:rPr>
        <w:t>（三）建议和改进措施</w:t>
      </w:r>
      <w:bookmarkEnd w:id="84"/>
      <w:bookmarkEnd w:id="85"/>
      <w:bookmarkEnd w:id="86"/>
      <w:bookmarkEnd w:id="87"/>
      <w:bookmarkEnd w:id="88"/>
      <w:bookmarkEnd w:id="89"/>
      <w:bookmarkEnd w:id="90"/>
    </w:p>
    <w:p w14:paraId="6BCF898C">
      <w:pPr>
        <w:bidi w:val="0"/>
        <w:rPr>
          <w:rFonts w:hint="eastAsia"/>
          <w:lang w:val="en-US" w:eastAsia="zh-CN"/>
        </w:rPr>
      </w:pPr>
      <w:r>
        <w:rPr>
          <w:rFonts w:hint="eastAsia"/>
          <w:lang w:val="en-US" w:eastAsia="zh-CN"/>
        </w:rPr>
        <w:t>1.优先通过专项补助解决上年度遗留资金缺口，避免挤占本年度预算；加强预算执行动态监控，提前预警资金缺口风险，及时优化调度计划。</w:t>
      </w:r>
    </w:p>
    <w:p w14:paraId="0321F853">
      <w:pPr>
        <w:bidi w:val="0"/>
        <w:rPr>
          <w:rFonts w:hint="eastAsia"/>
          <w:color w:val="auto"/>
          <w:highlight w:val="none"/>
          <w:lang w:val="en-US" w:eastAsia="zh-CN"/>
        </w:rPr>
      </w:pPr>
      <w:r>
        <w:rPr>
          <w:rFonts w:hint="eastAsia"/>
          <w:lang w:val="en-US" w:eastAsia="zh-CN"/>
        </w:rPr>
        <w:t>2.健全跨部门信息共享机制，提升动态管理时效性。对接公安户籍、殡葬管理部门，建立每月人员亡故信息自动推送、台账同步更新机制，完善残疾人两项补贴动态数据库；对死亡、低保退出、残疾证失效等不再符合补贴条件人员，实现当月核查、当月停发，最大限度减少补贴多发、追缴工作量。</w:t>
      </w:r>
    </w:p>
    <w:p w14:paraId="3A0D655A">
      <w:pPr>
        <w:pStyle w:val="7"/>
        <w:outlineLvl w:val="9"/>
        <w:rPr>
          <w:rFonts w:hint="default"/>
          <w:color w:val="auto"/>
          <w:lang w:eastAsia="zh-CN"/>
        </w:rPr>
      </w:pPr>
    </w:p>
    <w:p w14:paraId="5F8FA1C2">
      <w:pPr>
        <w:rPr>
          <w:rFonts w:ascii="宋体" w:hAnsi="宋体" w:eastAsia="宋体" w:cs="方正仿宋_GBK"/>
          <w:kern w:val="2"/>
          <w:sz w:val="21"/>
          <w:szCs w:val="32"/>
          <w:lang w:val="en-US" w:eastAsia="zh-CN" w:bidi="ar-SA"/>
        </w:rPr>
      </w:pPr>
      <w:r>
        <w:rPr>
          <w:rFonts w:ascii="宋体" w:hAnsi="宋体" w:eastAsia="宋体" w:cs="方正仿宋_GBK"/>
          <w:kern w:val="2"/>
          <w:sz w:val="21"/>
          <w:szCs w:val="32"/>
          <w:lang w:val="en-US" w:eastAsia="zh-CN" w:bidi="ar-SA"/>
        </w:rPr>
        <w:br w:type="page"/>
      </w:r>
    </w:p>
    <w:sdt>
      <w:sdtPr>
        <w:rPr>
          <w:rFonts w:hint="eastAsia" w:ascii="方正小标宋简体" w:hAnsi="方正小标宋简体" w:eastAsia="方正小标宋简体" w:cs="方正小标宋简体"/>
          <w:kern w:val="2"/>
          <w:sz w:val="44"/>
          <w:szCs w:val="44"/>
          <w:lang w:val="en-US" w:eastAsia="zh-CN" w:bidi="ar-SA"/>
        </w:rPr>
        <w:id w:val="147453539"/>
        <w15:color w:val="DBDBDB"/>
        <w:docPartObj>
          <w:docPartGallery w:val="Table of Contents"/>
          <w:docPartUnique/>
        </w:docPartObj>
      </w:sdtPr>
      <w:sdtEndPr>
        <w:rPr>
          <w:rFonts w:hint="eastAsia" w:ascii="方正小标宋简体" w:hAnsi="方正小标宋简体" w:eastAsia="方正小标宋简体" w:cs="方正小标宋简体"/>
          <w:b/>
          <w:kern w:val="2"/>
          <w:sz w:val="44"/>
          <w:szCs w:val="44"/>
          <w:lang w:val="en-US" w:eastAsia="zh-CN" w:bidi="ar-SA"/>
        </w:rPr>
      </w:sdtEndPr>
      <w:sdtContent>
        <w:p w14:paraId="53B441CB">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14:paraId="77BE4032">
          <w:pPr>
            <w:pStyle w:val="38"/>
            <w:tabs>
              <w:tab w:val="right" w:leader="dot" w:pos="8844"/>
            </w:tabs>
          </w:pPr>
          <w:r>
            <w:fldChar w:fldCharType="begin"/>
          </w:r>
          <w:r>
            <w:instrText xml:space="preserve">TOC \o "1-2" \h \u </w:instrText>
          </w:r>
          <w:r>
            <w:fldChar w:fldCharType="separate"/>
          </w:r>
        </w:p>
        <w:p w14:paraId="7D3417D6">
          <w:pPr>
            <w:pStyle w:val="37"/>
            <w:tabs>
              <w:tab w:val="right" w:leader="dot" w:pos="8844"/>
            </w:tabs>
            <w:rPr>
              <w:b/>
            </w:rPr>
          </w:pPr>
          <w:r>
            <w:rPr>
              <w:b/>
            </w:rPr>
            <w:fldChar w:fldCharType="begin"/>
          </w:r>
          <w:r>
            <w:rPr>
              <w:b/>
            </w:rPr>
            <w:instrText xml:space="preserve"> HYPERLINK \l _Toc27110 </w:instrText>
          </w:r>
          <w:r>
            <w:rPr>
              <w:b/>
            </w:rPr>
            <w:fldChar w:fldCharType="separate"/>
          </w:r>
          <w:r>
            <w:rPr>
              <w:rFonts w:hint="eastAsia"/>
              <w:b/>
              <w:lang w:val="en-US" w:eastAsia="zh-CN"/>
            </w:rPr>
            <w:t>一、基本情况</w:t>
          </w:r>
          <w:r>
            <w:rPr>
              <w:b/>
            </w:rPr>
            <w:tab/>
          </w:r>
          <w:r>
            <w:rPr>
              <w:b/>
            </w:rPr>
            <w:fldChar w:fldCharType="begin"/>
          </w:r>
          <w:r>
            <w:rPr>
              <w:b/>
            </w:rPr>
            <w:instrText xml:space="preserve"> PAGEREF _Toc27110 \h </w:instrText>
          </w:r>
          <w:r>
            <w:rPr>
              <w:b/>
            </w:rPr>
            <w:fldChar w:fldCharType="separate"/>
          </w:r>
          <w:r>
            <w:rPr>
              <w:b/>
            </w:rPr>
            <w:t>- 2 -</w:t>
          </w:r>
          <w:r>
            <w:rPr>
              <w:b/>
            </w:rPr>
            <w:fldChar w:fldCharType="end"/>
          </w:r>
          <w:r>
            <w:rPr>
              <w:b/>
            </w:rPr>
            <w:fldChar w:fldCharType="end"/>
          </w:r>
        </w:p>
        <w:p w14:paraId="55464D5E">
          <w:pPr>
            <w:pStyle w:val="38"/>
            <w:tabs>
              <w:tab w:val="right" w:leader="dot" w:pos="8844"/>
            </w:tabs>
          </w:pPr>
          <w:r>
            <w:fldChar w:fldCharType="begin"/>
          </w:r>
          <w:r>
            <w:instrText xml:space="preserve"> HYPERLINK \l _Toc29025 </w:instrText>
          </w:r>
          <w:r>
            <w:fldChar w:fldCharType="separate"/>
          </w:r>
          <w:r>
            <w:rPr>
              <w:rFonts w:hint="eastAsia"/>
              <w:lang w:val="en-US" w:eastAsia="zh-CN"/>
            </w:rPr>
            <w:t>（一）项目概况</w:t>
          </w:r>
          <w:r>
            <w:tab/>
          </w:r>
          <w:r>
            <w:fldChar w:fldCharType="begin"/>
          </w:r>
          <w:r>
            <w:instrText xml:space="preserve"> PAGEREF _Toc29025 \h </w:instrText>
          </w:r>
          <w:r>
            <w:fldChar w:fldCharType="separate"/>
          </w:r>
          <w:r>
            <w:t>- 2 -</w:t>
          </w:r>
          <w:r>
            <w:fldChar w:fldCharType="end"/>
          </w:r>
          <w:r>
            <w:fldChar w:fldCharType="end"/>
          </w:r>
        </w:p>
        <w:p w14:paraId="3C8680EC">
          <w:pPr>
            <w:pStyle w:val="38"/>
            <w:tabs>
              <w:tab w:val="right" w:leader="dot" w:pos="8844"/>
            </w:tabs>
          </w:pPr>
          <w:r>
            <w:fldChar w:fldCharType="begin"/>
          </w:r>
          <w:r>
            <w:instrText xml:space="preserve"> HYPERLINK \l _Toc30795 </w:instrText>
          </w:r>
          <w:r>
            <w:fldChar w:fldCharType="separate"/>
          </w:r>
          <w:r>
            <w:rPr>
              <w:rFonts w:hint="eastAsia"/>
              <w:lang w:val="en-US" w:eastAsia="zh-CN"/>
            </w:rPr>
            <w:t>（二）项目绩效目标</w:t>
          </w:r>
          <w:r>
            <w:tab/>
          </w:r>
          <w:r>
            <w:fldChar w:fldCharType="begin"/>
          </w:r>
          <w:r>
            <w:instrText xml:space="preserve"> PAGEREF _Toc30795 \h </w:instrText>
          </w:r>
          <w:r>
            <w:fldChar w:fldCharType="separate"/>
          </w:r>
          <w:r>
            <w:t>- 8 -</w:t>
          </w:r>
          <w:r>
            <w:fldChar w:fldCharType="end"/>
          </w:r>
          <w:r>
            <w:fldChar w:fldCharType="end"/>
          </w:r>
        </w:p>
        <w:p w14:paraId="3935FC69">
          <w:pPr>
            <w:pStyle w:val="37"/>
            <w:tabs>
              <w:tab w:val="right" w:leader="dot" w:pos="8844"/>
            </w:tabs>
            <w:rPr>
              <w:b/>
            </w:rPr>
          </w:pPr>
          <w:r>
            <w:rPr>
              <w:b/>
            </w:rPr>
            <w:fldChar w:fldCharType="begin"/>
          </w:r>
          <w:r>
            <w:rPr>
              <w:b/>
            </w:rPr>
            <w:instrText xml:space="preserve"> HYPERLINK \l _Toc2857 </w:instrText>
          </w:r>
          <w:r>
            <w:rPr>
              <w:b/>
            </w:rPr>
            <w:fldChar w:fldCharType="separate"/>
          </w:r>
          <w:r>
            <w:rPr>
              <w:rFonts w:hint="eastAsia"/>
              <w:b/>
              <w:lang w:val="en-US" w:eastAsia="zh-CN"/>
            </w:rPr>
            <w:t>二、绩效评价工作开展情况</w:t>
          </w:r>
          <w:r>
            <w:rPr>
              <w:b/>
            </w:rPr>
            <w:tab/>
          </w:r>
          <w:r>
            <w:rPr>
              <w:b/>
            </w:rPr>
            <w:fldChar w:fldCharType="begin"/>
          </w:r>
          <w:r>
            <w:rPr>
              <w:b/>
            </w:rPr>
            <w:instrText xml:space="preserve"> PAGEREF _Toc2857 \h </w:instrText>
          </w:r>
          <w:r>
            <w:rPr>
              <w:b/>
            </w:rPr>
            <w:fldChar w:fldCharType="separate"/>
          </w:r>
          <w:r>
            <w:rPr>
              <w:b/>
            </w:rPr>
            <w:t>- 11 -</w:t>
          </w:r>
          <w:r>
            <w:rPr>
              <w:b/>
            </w:rPr>
            <w:fldChar w:fldCharType="end"/>
          </w:r>
          <w:r>
            <w:rPr>
              <w:b/>
            </w:rPr>
            <w:fldChar w:fldCharType="end"/>
          </w:r>
        </w:p>
        <w:p w14:paraId="60C0084F">
          <w:pPr>
            <w:pStyle w:val="38"/>
            <w:tabs>
              <w:tab w:val="right" w:leader="dot" w:pos="8844"/>
            </w:tabs>
          </w:pPr>
          <w:r>
            <w:fldChar w:fldCharType="begin"/>
          </w:r>
          <w:r>
            <w:instrText xml:space="preserve"> HYPERLINK \l _Toc7341 </w:instrText>
          </w:r>
          <w:r>
            <w:fldChar w:fldCharType="separate"/>
          </w:r>
          <w:r>
            <w:rPr>
              <w:rFonts w:hint="eastAsia"/>
              <w:lang w:val="en-US" w:eastAsia="zh-CN"/>
            </w:rPr>
            <w:t>（一）绩效评价目的、对象和范围</w:t>
          </w:r>
          <w:r>
            <w:tab/>
          </w:r>
          <w:r>
            <w:fldChar w:fldCharType="begin"/>
          </w:r>
          <w:r>
            <w:instrText xml:space="preserve"> PAGEREF _Toc7341 \h </w:instrText>
          </w:r>
          <w:r>
            <w:fldChar w:fldCharType="separate"/>
          </w:r>
          <w:r>
            <w:t>- 11 -</w:t>
          </w:r>
          <w:r>
            <w:fldChar w:fldCharType="end"/>
          </w:r>
          <w:r>
            <w:fldChar w:fldCharType="end"/>
          </w:r>
        </w:p>
        <w:p w14:paraId="0502ED6C">
          <w:pPr>
            <w:pStyle w:val="38"/>
            <w:tabs>
              <w:tab w:val="right" w:leader="dot" w:pos="8844"/>
            </w:tabs>
          </w:pPr>
          <w:r>
            <w:fldChar w:fldCharType="begin"/>
          </w:r>
          <w:r>
            <w:instrText xml:space="preserve"> HYPERLINK \l _Toc1785 </w:instrText>
          </w:r>
          <w:r>
            <w:fldChar w:fldCharType="separate"/>
          </w:r>
          <w:r>
            <w:rPr>
              <w:rFonts w:hint="eastAsia"/>
              <w:lang w:val="en-US" w:eastAsia="zh-CN"/>
            </w:rPr>
            <w:t>（二）绩效评价原则、评价指标体系、评价方法、评价标准</w:t>
          </w:r>
          <w:r>
            <w:tab/>
          </w:r>
          <w:r>
            <w:fldChar w:fldCharType="begin"/>
          </w:r>
          <w:r>
            <w:instrText xml:space="preserve"> PAGEREF _Toc1785 \h </w:instrText>
          </w:r>
          <w:r>
            <w:fldChar w:fldCharType="separate"/>
          </w:r>
          <w:r>
            <w:t>- 12 -</w:t>
          </w:r>
          <w:r>
            <w:fldChar w:fldCharType="end"/>
          </w:r>
          <w:r>
            <w:fldChar w:fldCharType="end"/>
          </w:r>
        </w:p>
        <w:p w14:paraId="199486C1">
          <w:pPr>
            <w:pStyle w:val="38"/>
            <w:tabs>
              <w:tab w:val="right" w:leader="dot" w:pos="8844"/>
            </w:tabs>
          </w:pPr>
          <w:r>
            <w:fldChar w:fldCharType="begin"/>
          </w:r>
          <w:r>
            <w:instrText xml:space="preserve"> HYPERLINK \l _Toc13310 </w:instrText>
          </w:r>
          <w:r>
            <w:fldChar w:fldCharType="separate"/>
          </w:r>
          <w:r>
            <w:rPr>
              <w:rFonts w:hint="eastAsia"/>
              <w:lang w:val="en-US" w:eastAsia="zh-CN"/>
            </w:rPr>
            <w:t>（三）绩效评价工作过程</w:t>
          </w:r>
          <w:r>
            <w:tab/>
          </w:r>
          <w:r>
            <w:fldChar w:fldCharType="begin"/>
          </w:r>
          <w:r>
            <w:instrText xml:space="preserve"> PAGEREF _Toc13310 \h </w:instrText>
          </w:r>
          <w:r>
            <w:fldChar w:fldCharType="separate"/>
          </w:r>
          <w:r>
            <w:t>- 15 -</w:t>
          </w:r>
          <w:r>
            <w:fldChar w:fldCharType="end"/>
          </w:r>
          <w:r>
            <w:fldChar w:fldCharType="end"/>
          </w:r>
        </w:p>
        <w:p w14:paraId="3D7A4A20">
          <w:pPr>
            <w:pStyle w:val="37"/>
            <w:tabs>
              <w:tab w:val="right" w:leader="dot" w:pos="8844"/>
            </w:tabs>
            <w:rPr>
              <w:b/>
            </w:rPr>
          </w:pPr>
          <w:r>
            <w:rPr>
              <w:b/>
            </w:rPr>
            <w:fldChar w:fldCharType="begin"/>
          </w:r>
          <w:r>
            <w:rPr>
              <w:b/>
            </w:rPr>
            <w:instrText xml:space="preserve"> HYPERLINK \l _Toc8019 </w:instrText>
          </w:r>
          <w:r>
            <w:rPr>
              <w:b/>
            </w:rPr>
            <w:fldChar w:fldCharType="separate"/>
          </w:r>
          <w:r>
            <w:rPr>
              <w:rFonts w:hint="eastAsia"/>
              <w:b/>
              <w:lang w:val="en-US" w:eastAsia="zh-CN"/>
            </w:rPr>
            <w:t>三、综合评价情况及评价结论</w:t>
          </w:r>
          <w:r>
            <w:rPr>
              <w:b/>
            </w:rPr>
            <w:tab/>
          </w:r>
          <w:r>
            <w:rPr>
              <w:b/>
            </w:rPr>
            <w:fldChar w:fldCharType="begin"/>
          </w:r>
          <w:r>
            <w:rPr>
              <w:b/>
            </w:rPr>
            <w:instrText xml:space="preserve"> PAGEREF _Toc8019 \h </w:instrText>
          </w:r>
          <w:r>
            <w:rPr>
              <w:b/>
            </w:rPr>
            <w:fldChar w:fldCharType="separate"/>
          </w:r>
          <w:r>
            <w:rPr>
              <w:b/>
            </w:rPr>
            <w:t>- 18 -</w:t>
          </w:r>
          <w:r>
            <w:rPr>
              <w:b/>
            </w:rPr>
            <w:fldChar w:fldCharType="end"/>
          </w:r>
          <w:r>
            <w:rPr>
              <w:b/>
            </w:rPr>
            <w:fldChar w:fldCharType="end"/>
          </w:r>
        </w:p>
        <w:p w14:paraId="6599BDC4">
          <w:pPr>
            <w:pStyle w:val="38"/>
            <w:tabs>
              <w:tab w:val="right" w:leader="dot" w:pos="8844"/>
            </w:tabs>
          </w:pPr>
          <w:r>
            <w:fldChar w:fldCharType="begin"/>
          </w:r>
          <w:r>
            <w:instrText xml:space="preserve"> HYPERLINK \l _Toc25569 </w:instrText>
          </w:r>
          <w:r>
            <w:fldChar w:fldCharType="separate"/>
          </w:r>
          <w:r>
            <w:rPr>
              <w:rFonts w:hint="eastAsia"/>
              <w:lang w:val="en-US" w:eastAsia="zh-CN"/>
            </w:rPr>
            <w:t>（一）综合评价情况</w:t>
          </w:r>
          <w:r>
            <w:tab/>
          </w:r>
          <w:r>
            <w:fldChar w:fldCharType="begin"/>
          </w:r>
          <w:r>
            <w:instrText xml:space="preserve"> PAGEREF _Toc25569 \h </w:instrText>
          </w:r>
          <w:r>
            <w:fldChar w:fldCharType="separate"/>
          </w:r>
          <w:r>
            <w:t>- 18 -</w:t>
          </w:r>
          <w:r>
            <w:fldChar w:fldCharType="end"/>
          </w:r>
          <w:r>
            <w:fldChar w:fldCharType="end"/>
          </w:r>
        </w:p>
        <w:p w14:paraId="70D5D957">
          <w:pPr>
            <w:pStyle w:val="38"/>
            <w:tabs>
              <w:tab w:val="right" w:leader="dot" w:pos="8844"/>
            </w:tabs>
          </w:pPr>
          <w:r>
            <w:fldChar w:fldCharType="begin"/>
          </w:r>
          <w:r>
            <w:instrText xml:space="preserve"> HYPERLINK \l _Toc26873 </w:instrText>
          </w:r>
          <w:r>
            <w:fldChar w:fldCharType="separate"/>
          </w:r>
          <w:r>
            <w:rPr>
              <w:rFonts w:hint="eastAsia"/>
              <w:lang w:val="en-US" w:eastAsia="zh-CN"/>
            </w:rPr>
            <w:t>（二）综合评价结论</w:t>
          </w:r>
          <w:r>
            <w:tab/>
          </w:r>
          <w:r>
            <w:fldChar w:fldCharType="begin"/>
          </w:r>
          <w:r>
            <w:instrText xml:space="preserve"> PAGEREF _Toc26873 \h </w:instrText>
          </w:r>
          <w:r>
            <w:fldChar w:fldCharType="separate"/>
          </w:r>
          <w:r>
            <w:t>- 19 -</w:t>
          </w:r>
          <w:r>
            <w:fldChar w:fldCharType="end"/>
          </w:r>
          <w:r>
            <w:fldChar w:fldCharType="end"/>
          </w:r>
        </w:p>
        <w:p w14:paraId="50754CAF">
          <w:pPr>
            <w:pStyle w:val="37"/>
            <w:tabs>
              <w:tab w:val="right" w:leader="dot" w:pos="8844"/>
            </w:tabs>
            <w:rPr>
              <w:b/>
            </w:rPr>
          </w:pPr>
          <w:r>
            <w:rPr>
              <w:b/>
            </w:rPr>
            <w:fldChar w:fldCharType="begin"/>
          </w:r>
          <w:r>
            <w:rPr>
              <w:b/>
            </w:rPr>
            <w:instrText xml:space="preserve"> HYPERLINK \l _Toc24343 </w:instrText>
          </w:r>
          <w:r>
            <w:rPr>
              <w:b/>
            </w:rPr>
            <w:fldChar w:fldCharType="separate"/>
          </w:r>
          <w:r>
            <w:rPr>
              <w:rFonts w:hint="eastAsia"/>
              <w:b/>
              <w:lang w:val="en-US" w:eastAsia="zh-CN"/>
            </w:rPr>
            <w:t>四、绩效评价指标分析</w:t>
          </w:r>
          <w:r>
            <w:rPr>
              <w:b/>
            </w:rPr>
            <w:tab/>
          </w:r>
          <w:r>
            <w:rPr>
              <w:b/>
            </w:rPr>
            <w:fldChar w:fldCharType="begin"/>
          </w:r>
          <w:r>
            <w:rPr>
              <w:b/>
            </w:rPr>
            <w:instrText xml:space="preserve"> PAGEREF _Toc24343 \h </w:instrText>
          </w:r>
          <w:r>
            <w:rPr>
              <w:b/>
            </w:rPr>
            <w:fldChar w:fldCharType="separate"/>
          </w:r>
          <w:r>
            <w:rPr>
              <w:b/>
            </w:rPr>
            <w:t>- 20 -</w:t>
          </w:r>
          <w:r>
            <w:rPr>
              <w:b/>
            </w:rPr>
            <w:fldChar w:fldCharType="end"/>
          </w:r>
          <w:r>
            <w:rPr>
              <w:b/>
            </w:rPr>
            <w:fldChar w:fldCharType="end"/>
          </w:r>
        </w:p>
        <w:p w14:paraId="5D5A53E7">
          <w:pPr>
            <w:pStyle w:val="38"/>
            <w:tabs>
              <w:tab w:val="right" w:leader="dot" w:pos="8844"/>
            </w:tabs>
          </w:pPr>
          <w:r>
            <w:fldChar w:fldCharType="begin"/>
          </w:r>
          <w:r>
            <w:instrText xml:space="preserve"> HYPERLINK \l _Toc13182 </w:instrText>
          </w:r>
          <w:r>
            <w:fldChar w:fldCharType="separate"/>
          </w:r>
          <w:r>
            <w:rPr>
              <w:rFonts w:hint="eastAsia"/>
              <w:lang w:val="en-US" w:eastAsia="zh-CN"/>
            </w:rPr>
            <w:t>（一）项目决策情况</w:t>
          </w:r>
          <w:r>
            <w:tab/>
          </w:r>
          <w:r>
            <w:fldChar w:fldCharType="begin"/>
          </w:r>
          <w:r>
            <w:instrText xml:space="preserve"> PAGEREF _Toc13182 \h </w:instrText>
          </w:r>
          <w:r>
            <w:fldChar w:fldCharType="separate"/>
          </w:r>
          <w:r>
            <w:t>- 20 -</w:t>
          </w:r>
          <w:r>
            <w:fldChar w:fldCharType="end"/>
          </w:r>
          <w:r>
            <w:fldChar w:fldCharType="end"/>
          </w:r>
        </w:p>
        <w:p w14:paraId="7F3A8A9E">
          <w:pPr>
            <w:pStyle w:val="38"/>
            <w:tabs>
              <w:tab w:val="right" w:leader="dot" w:pos="8844"/>
            </w:tabs>
          </w:pPr>
          <w:r>
            <w:fldChar w:fldCharType="begin"/>
          </w:r>
          <w:r>
            <w:instrText xml:space="preserve"> HYPERLINK \l _Toc32052 </w:instrText>
          </w:r>
          <w:r>
            <w:fldChar w:fldCharType="separate"/>
          </w:r>
          <w:r>
            <w:rPr>
              <w:rFonts w:hint="eastAsia"/>
              <w:lang w:val="en-US" w:eastAsia="zh-CN"/>
            </w:rPr>
            <w:t>（二）项目过程情况</w:t>
          </w:r>
          <w:r>
            <w:tab/>
          </w:r>
          <w:r>
            <w:fldChar w:fldCharType="begin"/>
          </w:r>
          <w:r>
            <w:instrText xml:space="preserve"> PAGEREF _Toc32052 \h </w:instrText>
          </w:r>
          <w:r>
            <w:fldChar w:fldCharType="separate"/>
          </w:r>
          <w:r>
            <w:t>- 25 -</w:t>
          </w:r>
          <w:r>
            <w:fldChar w:fldCharType="end"/>
          </w:r>
          <w:r>
            <w:fldChar w:fldCharType="end"/>
          </w:r>
        </w:p>
        <w:p w14:paraId="16675FDA">
          <w:pPr>
            <w:pStyle w:val="38"/>
            <w:tabs>
              <w:tab w:val="right" w:leader="dot" w:pos="8844"/>
            </w:tabs>
          </w:pPr>
          <w:r>
            <w:fldChar w:fldCharType="begin"/>
          </w:r>
          <w:r>
            <w:instrText xml:space="preserve"> HYPERLINK \l _Toc18877 </w:instrText>
          </w:r>
          <w:r>
            <w:fldChar w:fldCharType="separate"/>
          </w:r>
          <w:r>
            <w:rPr>
              <w:rFonts w:hint="eastAsia"/>
              <w:lang w:val="en-US" w:eastAsia="zh-CN"/>
            </w:rPr>
            <w:t>（三）项目产出情况</w:t>
          </w:r>
          <w:r>
            <w:tab/>
          </w:r>
          <w:r>
            <w:fldChar w:fldCharType="begin"/>
          </w:r>
          <w:r>
            <w:instrText xml:space="preserve"> PAGEREF _Toc18877 \h </w:instrText>
          </w:r>
          <w:r>
            <w:fldChar w:fldCharType="separate"/>
          </w:r>
          <w:r>
            <w:t>- 28 -</w:t>
          </w:r>
          <w:r>
            <w:fldChar w:fldCharType="end"/>
          </w:r>
          <w:r>
            <w:fldChar w:fldCharType="end"/>
          </w:r>
        </w:p>
        <w:p w14:paraId="75274C3F">
          <w:pPr>
            <w:pStyle w:val="38"/>
            <w:tabs>
              <w:tab w:val="right" w:leader="dot" w:pos="8844"/>
            </w:tabs>
          </w:pPr>
          <w:r>
            <w:fldChar w:fldCharType="begin"/>
          </w:r>
          <w:r>
            <w:instrText xml:space="preserve"> HYPERLINK \l _Toc11223 </w:instrText>
          </w:r>
          <w:r>
            <w:fldChar w:fldCharType="separate"/>
          </w:r>
          <w:r>
            <w:rPr>
              <w:rFonts w:hint="eastAsia"/>
              <w:lang w:val="en-US" w:eastAsia="zh-CN"/>
            </w:rPr>
            <w:t>（四）项目效益情况</w:t>
          </w:r>
          <w:r>
            <w:tab/>
          </w:r>
          <w:r>
            <w:fldChar w:fldCharType="begin"/>
          </w:r>
          <w:r>
            <w:instrText xml:space="preserve"> PAGEREF _Toc11223 \h </w:instrText>
          </w:r>
          <w:r>
            <w:fldChar w:fldCharType="separate"/>
          </w:r>
          <w:r>
            <w:t>- 30 -</w:t>
          </w:r>
          <w:r>
            <w:fldChar w:fldCharType="end"/>
          </w:r>
          <w:r>
            <w:fldChar w:fldCharType="end"/>
          </w:r>
        </w:p>
        <w:p w14:paraId="1634B482">
          <w:pPr>
            <w:pStyle w:val="37"/>
            <w:tabs>
              <w:tab w:val="right" w:leader="dot" w:pos="8844"/>
            </w:tabs>
            <w:rPr>
              <w:b/>
            </w:rPr>
          </w:pPr>
          <w:r>
            <w:rPr>
              <w:b/>
            </w:rPr>
            <w:fldChar w:fldCharType="begin"/>
          </w:r>
          <w:r>
            <w:rPr>
              <w:b/>
            </w:rPr>
            <w:instrText xml:space="preserve"> HYPERLINK \l _Toc8285 </w:instrText>
          </w:r>
          <w:r>
            <w:rPr>
              <w:b/>
            </w:rPr>
            <w:fldChar w:fldCharType="separate"/>
          </w:r>
          <w:r>
            <w:rPr>
              <w:rFonts w:hint="eastAsia"/>
              <w:b/>
              <w:lang w:val="en-US" w:eastAsia="zh-CN"/>
            </w:rPr>
            <w:t>五、主要经验及做法、存在的问题及原因分析</w:t>
          </w:r>
          <w:r>
            <w:rPr>
              <w:b/>
            </w:rPr>
            <w:tab/>
          </w:r>
          <w:r>
            <w:rPr>
              <w:b/>
            </w:rPr>
            <w:fldChar w:fldCharType="begin"/>
          </w:r>
          <w:r>
            <w:rPr>
              <w:b/>
            </w:rPr>
            <w:instrText xml:space="preserve"> PAGEREF _Toc8285 \h </w:instrText>
          </w:r>
          <w:r>
            <w:rPr>
              <w:b/>
            </w:rPr>
            <w:fldChar w:fldCharType="separate"/>
          </w:r>
          <w:r>
            <w:rPr>
              <w:b/>
            </w:rPr>
            <w:t>- 32 -</w:t>
          </w:r>
          <w:r>
            <w:rPr>
              <w:b/>
            </w:rPr>
            <w:fldChar w:fldCharType="end"/>
          </w:r>
          <w:r>
            <w:rPr>
              <w:b/>
            </w:rPr>
            <w:fldChar w:fldCharType="end"/>
          </w:r>
        </w:p>
        <w:p w14:paraId="18109C26">
          <w:pPr>
            <w:pStyle w:val="38"/>
            <w:tabs>
              <w:tab w:val="right" w:leader="dot" w:pos="8844"/>
            </w:tabs>
          </w:pPr>
          <w:r>
            <w:fldChar w:fldCharType="begin"/>
          </w:r>
          <w:r>
            <w:instrText xml:space="preserve"> HYPERLINK \l _Toc23676 </w:instrText>
          </w:r>
          <w:r>
            <w:fldChar w:fldCharType="separate"/>
          </w:r>
          <w:r>
            <w:rPr>
              <w:rFonts w:hint="eastAsia"/>
              <w:lang w:val="en-US" w:eastAsia="zh-CN"/>
            </w:rPr>
            <w:t>（一）主要经验及做法</w:t>
          </w:r>
          <w:r>
            <w:tab/>
          </w:r>
          <w:r>
            <w:fldChar w:fldCharType="begin"/>
          </w:r>
          <w:r>
            <w:instrText xml:space="preserve"> PAGEREF _Toc23676 \h </w:instrText>
          </w:r>
          <w:r>
            <w:fldChar w:fldCharType="separate"/>
          </w:r>
          <w:r>
            <w:t>- 32 -</w:t>
          </w:r>
          <w:r>
            <w:fldChar w:fldCharType="end"/>
          </w:r>
          <w:r>
            <w:fldChar w:fldCharType="end"/>
          </w:r>
        </w:p>
        <w:p w14:paraId="1598D19B">
          <w:pPr>
            <w:pStyle w:val="38"/>
            <w:tabs>
              <w:tab w:val="right" w:leader="dot" w:pos="8844"/>
            </w:tabs>
          </w:pPr>
          <w:r>
            <w:fldChar w:fldCharType="begin"/>
          </w:r>
          <w:r>
            <w:instrText xml:space="preserve"> HYPERLINK \l _Toc23674 </w:instrText>
          </w:r>
          <w:r>
            <w:fldChar w:fldCharType="separate"/>
          </w:r>
          <w:r>
            <w:rPr>
              <w:rFonts w:hint="eastAsia"/>
              <w:lang w:val="en-US" w:eastAsia="zh-CN"/>
            </w:rPr>
            <w:t>（二）存在问题及原因分析</w:t>
          </w:r>
          <w:r>
            <w:tab/>
          </w:r>
          <w:r>
            <w:fldChar w:fldCharType="begin"/>
          </w:r>
          <w:r>
            <w:instrText xml:space="preserve"> PAGEREF _Toc23674 \h </w:instrText>
          </w:r>
          <w:r>
            <w:fldChar w:fldCharType="separate"/>
          </w:r>
          <w:r>
            <w:t>- 33 -</w:t>
          </w:r>
          <w:r>
            <w:fldChar w:fldCharType="end"/>
          </w:r>
          <w:r>
            <w:fldChar w:fldCharType="end"/>
          </w:r>
        </w:p>
        <w:p w14:paraId="00B3C5EB">
          <w:pPr>
            <w:pStyle w:val="37"/>
            <w:tabs>
              <w:tab w:val="right" w:leader="dot" w:pos="8844"/>
            </w:tabs>
            <w:rPr>
              <w:b/>
            </w:rPr>
          </w:pPr>
          <w:r>
            <w:rPr>
              <w:b/>
            </w:rPr>
            <w:fldChar w:fldCharType="begin"/>
          </w:r>
          <w:r>
            <w:rPr>
              <w:b/>
            </w:rPr>
            <w:instrText xml:space="preserve"> HYPERLINK \l _Toc31519 </w:instrText>
          </w:r>
          <w:r>
            <w:rPr>
              <w:b/>
            </w:rPr>
            <w:fldChar w:fldCharType="separate"/>
          </w:r>
          <w:r>
            <w:rPr>
              <w:rFonts w:hint="eastAsia"/>
              <w:b/>
              <w:lang w:val="en-US" w:eastAsia="zh-CN"/>
            </w:rPr>
            <w:t>六、有关建议</w:t>
          </w:r>
          <w:r>
            <w:rPr>
              <w:b/>
            </w:rPr>
            <w:tab/>
          </w:r>
          <w:r>
            <w:rPr>
              <w:b/>
            </w:rPr>
            <w:fldChar w:fldCharType="begin"/>
          </w:r>
          <w:r>
            <w:rPr>
              <w:b/>
            </w:rPr>
            <w:instrText xml:space="preserve"> PAGEREF _Toc31519 \h </w:instrText>
          </w:r>
          <w:r>
            <w:rPr>
              <w:b/>
            </w:rPr>
            <w:fldChar w:fldCharType="separate"/>
          </w:r>
          <w:r>
            <w:rPr>
              <w:b/>
            </w:rPr>
            <w:t>- 33 -</w:t>
          </w:r>
          <w:r>
            <w:rPr>
              <w:b/>
            </w:rPr>
            <w:fldChar w:fldCharType="end"/>
          </w:r>
          <w:r>
            <w:rPr>
              <w:b/>
            </w:rPr>
            <w:fldChar w:fldCharType="end"/>
          </w:r>
        </w:p>
        <w:p w14:paraId="4D195405">
          <w:pPr>
            <w:pStyle w:val="37"/>
            <w:tabs>
              <w:tab w:val="right" w:leader="dot" w:pos="8844"/>
            </w:tabs>
            <w:rPr>
              <w:b/>
            </w:rPr>
          </w:pPr>
          <w:r>
            <w:rPr>
              <w:b/>
            </w:rPr>
            <w:fldChar w:fldCharType="begin"/>
          </w:r>
          <w:r>
            <w:rPr>
              <w:b/>
            </w:rPr>
            <w:instrText xml:space="preserve"> HYPERLINK \l _Toc20548 </w:instrText>
          </w:r>
          <w:r>
            <w:rPr>
              <w:b/>
            </w:rPr>
            <w:fldChar w:fldCharType="separate"/>
          </w:r>
          <w:r>
            <w:rPr>
              <w:rFonts w:hint="eastAsia"/>
              <w:b/>
              <w:lang w:val="en-US" w:eastAsia="zh-CN"/>
            </w:rPr>
            <w:t>七、其他需要说明的问题</w:t>
          </w:r>
          <w:r>
            <w:rPr>
              <w:b/>
            </w:rPr>
            <w:tab/>
          </w:r>
          <w:r>
            <w:rPr>
              <w:b/>
            </w:rPr>
            <w:fldChar w:fldCharType="begin"/>
          </w:r>
          <w:r>
            <w:rPr>
              <w:b/>
            </w:rPr>
            <w:instrText xml:space="preserve"> PAGEREF _Toc20548 \h </w:instrText>
          </w:r>
          <w:r>
            <w:rPr>
              <w:b/>
            </w:rPr>
            <w:fldChar w:fldCharType="separate"/>
          </w:r>
          <w:r>
            <w:rPr>
              <w:b/>
            </w:rPr>
            <w:t>- 34 -</w:t>
          </w:r>
          <w:r>
            <w:rPr>
              <w:b/>
            </w:rPr>
            <w:fldChar w:fldCharType="end"/>
          </w:r>
          <w:r>
            <w:rPr>
              <w:b/>
            </w:rPr>
            <w:fldChar w:fldCharType="end"/>
          </w:r>
        </w:p>
        <w:p w14:paraId="1265981E">
          <w:pPr>
            <w:pStyle w:val="37"/>
            <w:tabs>
              <w:tab w:val="right" w:leader="dot" w:pos="8844"/>
            </w:tabs>
            <w:rPr>
              <w:b/>
            </w:rPr>
          </w:pPr>
          <w:r>
            <w:rPr>
              <w:b/>
            </w:rPr>
            <w:fldChar w:fldCharType="begin"/>
          </w:r>
          <w:r>
            <w:rPr>
              <w:b/>
            </w:rPr>
            <w:instrText xml:space="preserve"> HYPERLINK \l _Toc22216 </w:instrText>
          </w:r>
          <w:r>
            <w:rPr>
              <w:b/>
            </w:rPr>
            <w:fldChar w:fldCharType="separate"/>
          </w:r>
          <w:r>
            <w:rPr>
              <w:rFonts w:hint="eastAsia"/>
              <w:b/>
              <w:lang w:val="en-US" w:eastAsia="zh-CN"/>
            </w:rPr>
            <w:t>八、绩效评价结果应用建议</w:t>
          </w:r>
          <w:r>
            <w:rPr>
              <w:b/>
            </w:rPr>
            <w:tab/>
          </w:r>
          <w:r>
            <w:rPr>
              <w:b/>
            </w:rPr>
            <w:fldChar w:fldCharType="begin"/>
          </w:r>
          <w:r>
            <w:rPr>
              <w:b/>
            </w:rPr>
            <w:instrText xml:space="preserve"> PAGEREF _Toc22216 \h </w:instrText>
          </w:r>
          <w:r>
            <w:rPr>
              <w:b/>
            </w:rPr>
            <w:fldChar w:fldCharType="separate"/>
          </w:r>
          <w:r>
            <w:rPr>
              <w:b/>
            </w:rPr>
            <w:t>- 34 -</w:t>
          </w:r>
          <w:r>
            <w:rPr>
              <w:b/>
            </w:rPr>
            <w:fldChar w:fldCharType="end"/>
          </w:r>
          <w:r>
            <w:rPr>
              <w:b/>
            </w:rPr>
            <w:fldChar w:fldCharType="end"/>
          </w:r>
        </w:p>
        <w:p w14:paraId="13A586ED">
          <w:pPr>
            <w:pStyle w:val="38"/>
            <w:tabs>
              <w:tab w:val="right" w:leader="dot" w:pos="8844"/>
            </w:tabs>
          </w:pPr>
          <w:r>
            <w:fldChar w:fldCharType="begin"/>
          </w:r>
          <w:r>
            <w:instrText xml:space="preserve"> HYPERLINK \l _Toc9685 </w:instrText>
          </w:r>
          <w:r>
            <w:fldChar w:fldCharType="separate"/>
          </w:r>
          <w:r>
            <w:rPr>
              <w:rFonts w:hint="eastAsia"/>
              <w:lang w:val="en-US" w:eastAsia="zh-CN"/>
            </w:rPr>
            <w:t>附件1:2025年莎车县困难残疾人生活补贴和重度残疾人护理补贴项目绩效评价指标综合评分表</w:t>
          </w:r>
          <w:r>
            <w:tab/>
          </w:r>
          <w:r>
            <w:fldChar w:fldCharType="begin"/>
          </w:r>
          <w:r>
            <w:instrText xml:space="preserve"> PAGEREF _Toc9685 \h </w:instrText>
          </w:r>
          <w:r>
            <w:fldChar w:fldCharType="separate"/>
          </w:r>
          <w:r>
            <w:t>- 36 -</w:t>
          </w:r>
          <w:r>
            <w:fldChar w:fldCharType="end"/>
          </w:r>
          <w:r>
            <w:fldChar w:fldCharType="end"/>
          </w:r>
        </w:p>
        <w:p w14:paraId="0727F8B5">
          <w:pPr>
            <w:pStyle w:val="38"/>
            <w:tabs>
              <w:tab w:val="right" w:leader="dot" w:pos="8844"/>
            </w:tabs>
          </w:pPr>
          <w:r>
            <w:fldChar w:fldCharType="begin"/>
          </w:r>
          <w:r>
            <w:instrText xml:space="preserve"> HYPERLINK \l _Toc29588 </w:instrText>
          </w:r>
          <w:r>
            <w:fldChar w:fldCharType="separate"/>
          </w:r>
          <w:r>
            <w:rPr>
              <w:rFonts w:hint="default"/>
              <w:lang w:val="en-US" w:eastAsia="zh-CN"/>
            </w:rPr>
            <w:t>附件2：2025年莎车县困难残疾人生活补贴和重度残疾人护理补贴项目基础信息采集表</w:t>
          </w:r>
          <w:r>
            <w:tab/>
          </w:r>
          <w:r>
            <w:fldChar w:fldCharType="begin"/>
          </w:r>
          <w:r>
            <w:instrText xml:space="preserve"> PAGEREF _Toc29588 \h </w:instrText>
          </w:r>
          <w:r>
            <w:fldChar w:fldCharType="separate"/>
          </w:r>
          <w:r>
            <w:t>- 53 -</w:t>
          </w:r>
          <w:r>
            <w:fldChar w:fldCharType="end"/>
          </w:r>
          <w:r>
            <w:fldChar w:fldCharType="end"/>
          </w:r>
        </w:p>
        <w:p w14:paraId="50886BC3">
          <w:pPr>
            <w:pStyle w:val="38"/>
            <w:tabs>
              <w:tab w:val="right" w:leader="dot" w:pos="8844"/>
            </w:tabs>
          </w:pPr>
          <w:r>
            <w:fldChar w:fldCharType="begin"/>
          </w:r>
          <w:r>
            <w:instrText xml:space="preserve"> HYPERLINK \l _Toc29078 </w:instrText>
          </w:r>
          <w:r>
            <w:fldChar w:fldCharType="separate"/>
          </w:r>
          <w:r>
            <w:rPr>
              <w:rFonts w:hint="default"/>
              <w:lang w:val="en-US" w:eastAsia="zh-CN"/>
            </w:rPr>
            <w:t>附件3：访谈记录</w:t>
          </w:r>
          <w:r>
            <w:tab/>
          </w:r>
          <w:r>
            <w:fldChar w:fldCharType="begin"/>
          </w:r>
          <w:r>
            <w:instrText xml:space="preserve"> PAGEREF _Toc29078 \h </w:instrText>
          </w:r>
          <w:r>
            <w:fldChar w:fldCharType="separate"/>
          </w:r>
          <w:r>
            <w:t>- 54 -</w:t>
          </w:r>
          <w:r>
            <w:fldChar w:fldCharType="end"/>
          </w:r>
          <w:r>
            <w:fldChar w:fldCharType="end"/>
          </w:r>
        </w:p>
        <w:p w14:paraId="33580F4D">
          <w:pPr>
            <w:pStyle w:val="38"/>
            <w:tabs>
              <w:tab w:val="right" w:leader="dot" w:pos="8844"/>
            </w:tabs>
          </w:pPr>
          <w:r>
            <w:fldChar w:fldCharType="begin"/>
          </w:r>
          <w:r>
            <w:instrText xml:space="preserve"> HYPERLINK \l _Toc14847 </w:instrText>
          </w:r>
          <w:r>
            <w:fldChar w:fldCharType="separate"/>
          </w:r>
          <w:r>
            <w:rPr>
              <w:rFonts w:hint="default"/>
              <w:lang w:val="en-US" w:eastAsia="zh-CN"/>
            </w:rPr>
            <w:t>附件4：财政局绩效评价报告确认单</w:t>
          </w:r>
          <w:r>
            <w:tab/>
          </w:r>
          <w:r>
            <w:fldChar w:fldCharType="begin"/>
          </w:r>
          <w:r>
            <w:instrText xml:space="preserve"> PAGEREF _Toc14847 \h </w:instrText>
          </w:r>
          <w:r>
            <w:fldChar w:fldCharType="separate"/>
          </w:r>
          <w:r>
            <w:t>- 55 -</w:t>
          </w:r>
          <w:r>
            <w:fldChar w:fldCharType="end"/>
          </w:r>
          <w:r>
            <w:fldChar w:fldCharType="end"/>
          </w:r>
        </w:p>
        <w:p w14:paraId="2DFD4DDC">
          <w:pPr>
            <w:pStyle w:val="38"/>
            <w:tabs>
              <w:tab w:val="right" w:leader="dot" w:pos="8844"/>
            </w:tabs>
          </w:pPr>
          <w:r>
            <w:fldChar w:fldCharType="begin"/>
          </w:r>
          <w:r>
            <w:instrText xml:space="preserve"> HYPERLINK \l _Toc28904 </w:instrText>
          </w:r>
          <w:r>
            <w:fldChar w:fldCharType="separate"/>
          </w:r>
          <w:r>
            <w:rPr>
              <w:rFonts w:hint="default"/>
              <w:lang w:val="en-US" w:eastAsia="zh-CN"/>
            </w:rPr>
            <w:t>附件5：预算单位绩效评价报告确认单</w:t>
          </w:r>
          <w:r>
            <w:tab/>
          </w:r>
          <w:r>
            <w:fldChar w:fldCharType="begin"/>
          </w:r>
          <w:r>
            <w:instrText xml:space="preserve"> PAGEREF _Toc28904 \h </w:instrText>
          </w:r>
          <w:r>
            <w:fldChar w:fldCharType="separate"/>
          </w:r>
          <w:r>
            <w:t>- 56 -</w:t>
          </w:r>
          <w:r>
            <w:fldChar w:fldCharType="end"/>
          </w:r>
          <w:r>
            <w:fldChar w:fldCharType="end"/>
          </w:r>
        </w:p>
        <w:p w14:paraId="394D7C9A">
          <w:pPr>
            <w:pStyle w:val="38"/>
            <w:tabs>
              <w:tab w:val="right" w:leader="dot" w:pos="8844"/>
            </w:tabs>
            <w:rPr>
              <w:b/>
            </w:rPr>
          </w:pPr>
          <w:r>
            <w:fldChar w:fldCharType="begin"/>
          </w:r>
          <w:r>
            <w:instrText xml:space="preserve"> HYPERLINK \l _Toc21876 </w:instrText>
          </w:r>
          <w:r>
            <w:fldChar w:fldCharType="separate"/>
          </w:r>
          <w:r>
            <w:rPr>
              <w:rFonts w:hint="eastAsia"/>
              <w:lang w:eastAsia="zh-CN"/>
            </w:rPr>
            <w:t>附件6：调查问卷结果分析报告及调查问卷样表</w:t>
          </w:r>
          <w:r>
            <w:tab/>
          </w:r>
          <w:r>
            <w:fldChar w:fldCharType="begin"/>
          </w:r>
          <w:r>
            <w:instrText xml:space="preserve"> PAGEREF _Toc21876 \h </w:instrText>
          </w:r>
          <w:r>
            <w:fldChar w:fldCharType="separate"/>
          </w:r>
          <w:r>
            <w:t>- 57 -</w:t>
          </w:r>
          <w:r>
            <w:fldChar w:fldCharType="end"/>
          </w:r>
          <w:r>
            <w:fldChar w:fldCharType="end"/>
          </w:r>
        </w:p>
        <w:p w14:paraId="088945B4">
          <w:pPr>
            <w:pStyle w:val="38"/>
            <w:tabs>
              <w:tab w:val="right" w:leader="dot" w:pos="8844"/>
            </w:tabs>
          </w:pPr>
          <w:r>
            <w:fldChar w:fldCharType="begin"/>
          </w:r>
          <w:r>
            <w:instrText xml:space="preserve"> HYPERLINK \l _Toc30161 </w:instrText>
          </w:r>
          <w:r>
            <w:fldChar w:fldCharType="separate"/>
          </w:r>
          <w:r>
            <w:rPr>
              <w:rFonts w:hint="default"/>
              <w:lang w:val="en-US" w:eastAsia="zh-CN"/>
            </w:rPr>
            <w:t>附件7：工作记录图片</w:t>
          </w:r>
          <w:r>
            <w:tab/>
          </w:r>
          <w:r>
            <w:fldChar w:fldCharType="begin"/>
          </w:r>
          <w:r>
            <w:instrText xml:space="preserve"> PAGEREF _Toc30161 \h </w:instrText>
          </w:r>
          <w:r>
            <w:fldChar w:fldCharType="separate"/>
          </w:r>
          <w:r>
            <w:t>- 60 -</w:t>
          </w:r>
          <w:r>
            <w:fldChar w:fldCharType="end"/>
          </w:r>
          <w:r>
            <w:fldChar w:fldCharType="end"/>
          </w:r>
        </w:p>
        <w:p w14:paraId="36337D03">
          <w:pPr>
            <w:rPr>
              <w:b/>
            </w:rPr>
            <w:sectPr>
              <w:headerReference r:id="rId5" w:type="default"/>
              <w:pgSz w:w="11906" w:h="16838"/>
              <w:pgMar w:top="1984" w:right="1531" w:bottom="1701" w:left="1531" w:header="851" w:footer="1304" w:gutter="0"/>
              <w:pgNumType w:fmt="numberInDash" w:start="1"/>
              <w:cols w:space="0" w:num="1"/>
              <w:rtlGutter w:val="0"/>
              <w:docGrid w:type="lines" w:linePitch="312" w:charSpace="0"/>
            </w:sectPr>
          </w:pPr>
          <w:r>
            <w:rPr>
              <w:b/>
            </w:rPr>
            <w:fldChar w:fldCharType="end"/>
          </w:r>
        </w:p>
      </w:sdtContent>
    </w:sdt>
    <w:p w14:paraId="5F6A3625">
      <w:pPr>
        <w:pStyle w:val="8"/>
        <w:bidi w:val="0"/>
        <w:ind w:left="0" w:leftChars="0" w:firstLine="0" w:firstLineChars="0"/>
        <w:jc w:val="center"/>
        <w:rPr>
          <w:rFonts w:hint="eastAsia"/>
          <w:lang w:eastAsia="zh-CN"/>
        </w:rPr>
      </w:pPr>
      <w:r>
        <w:rPr>
          <w:rFonts w:hint="eastAsia"/>
          <w:lang w:eastAsia="zh-CN"/>
        </w:rPr>
        <w:t>2025年莎车县困难残疾人生活补贴和重度残疾人护理补贴项目绩效评价报告</w:t>
      </w:r>
    </w:p>
    <w:p w14:paraId="4EF18F19">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outlineLvl w:val="9"/>
        <w:rPr>
          <w:rFonts w:hint="eastAsia" w:ascii="方正仿宋_GBK" w:hAnsi="方正仿宋_GBK" w:eastAsia="方正仿宋_GBK" w:cs="方正仿宋_GBK"/>
          <w:b w:val="0"/>
          <w:bCs/>
          <w:color w:val="auto"/>
          <w:spacing w:val="-1"/>
          <w:sz w:val="32"/>
          <w:szCs w:val="32"/>
          <w:lang w:eastAsia="zh-CN"/>
        </w:rPr>
      </w:pPr>
    </w:p>
    <w:p w14:paraId="32AD14C9">
      <w:pPr>
        <w:bidi w:val="0"/>
        <w:ind w:left="0" w:leftChars="0" w:firstLine="0" w:firstLineChars="0"/>
        <w:rPr>
          <w:rFonts w:hint="eastAsia"/>
        </w:rPr>
      </w:pPr>
      <w:bookmarkStart w:id="91" w:name="_Toc28728"/>
      <w:bookmarkStart w:id="92" w:name="_Toc7801"/>
      <w:bookmarkStart w:id="93" w:name="_Toc32559"/>
      <w:r>
        <w:rPr>
          <w:rFonts w:hint="eastAsia"/>
          <w:lang w:eastAsia="zh-CN"/>
        </w:rPr>
        <w:t>莎车县</w:t>
      </w:r>
      <w:r>
        <w:rPr>
          <w:rFonts w:hint="eastAsia"/>
        </w:rPr>
        <w:t>财政局：</w:t>
      </w:r>
      <w:bookmarkEnd w:id="91"/>
      <w:bookmarkEnd w:id="92"/>
      <w:bookmarkEnd w:id="93"/>
    </w:p>
    <w:p w14:paraId="391A025E">
      <w:pPr>
        <w:bidi w:val="0"/>
        <w:rPr>
          <w:rFonts w:hint="eastAsia"/>
        </w:rPr>
      </w:pPr>
      <w:bookmarkStart w:id="94" w:name="_Toc8869"/>
      <w:bookmarkStart w:id="95" w:name="_Toc2267"/>
      <w:bookmarkStart w:id="96" w:name="_Toc16428"/>
      <w:r>
        <w:rPr>
          <w:rFonts w:hint="eastAsia"/>
        </w:rPr>
        <w:t>为贯彻落实全面推进预算绩效管理工作的要求，完善部门预算管理，强化预算支出责任，提高财政资金的使用效益，根据《中华人民共和国预算法》《</w:t>
      </w:r>
      <w:r>
        <w:rPr>
          <w:rFonts w:hint="eastAsia"/>
          <w:lang w:eastAsia="zh-CN"/>
        </w:rPr>
        <w:t>中共中央、国务院</w:t>
      </w:r>
      <w:r>
        <w:rPr>
          <w:rFonts w:hint="eastAsia"/>
        </w:rPr>
        <w:t>关于全面实施预算绩效管理的意见》</w:t>
      </w:r>
      <w:r>
        <w:rPr>
          <w:rFonts w:hint="eastAsia"/>
          <w:lang w:eastAsia="zh-CN"/>
        </w:rPr>
        <w:t>（</w:t>
      </w:r>
      <w:r>
        <w:rPr>
          <w:rFonts w:hint="eastAsia"/>
        </w:rPr>
        <w:t>中发〔2018〕34号</w:t>
      </w:r>
      <w:r>
        <w:rPr>
          <w:rFonts w:hint="eastAsia"/>
          <w:lang w:eastAsia="zh-CN"/>
        </w:rPr>
        <w:t>）</w:t>
      </w:r>
      <w:r>
        <w:rPr>
          <w:rFonts w:hint="eastAsia"/>
        </w:rPr>
        <w:t>、《项目支出绩效评价管理办法》</w:t>
      </w:r>
      <w:r>
        <w:rPr>
          <w:rFonts w:hint="eastAsia"/>
          <w:lang w:eastAsia="zh-CN"/>
        </w:rPr>
        <w:t>（</w:t>
      </w:r>
      <w:r>
        <w:rPr>
          <w:rFonts w:hint="eastAsia"/>
        </w:rPr>
        <w:t>财预〔2020〕10号</w:t>
      </w:r>
      <w:r>
        <w:rPr>
          <w:rFonts w:hint="eastAsia"/>
          <w:lang w:eastAsia="zh-CN"/>
        </w:rPr>
        <w:t>）</w:t>
      </w:r>
      <w:r>
        <w:rPr>
          <w:rFonts w:hint="eastAsia"/>
        </w:rPr>
        <w:t>、《财政部关于印发〈第三方机构预算绩效评价业务监督管理暂行办法〉的通知》</w:t>
      </w:r>
      <w:r>
        <w:rPr>
          <w:rFonts w:hint="eastAsia"/>
          <w:lang w:eastAsia="zh-CN"/>
        </w:rPr>
        <w:t>（</w:t>
      </w:r>
      <w:r>
        <w:rPr>
          <w:rFonts w:hint="eastAsia"/>
        </w:rPr>
        <w:t>财监〔2021〕4号</w:t>
      </w:r>
      <w:r>
        <w:rPr>
          <w:rFonts w:hint="eastAsia"/>
          <w:lang w:eastAsia="zh-CN"/>
        </w:rPr>
        <w:t>）</w:t>
      </w:r>
      <w:r>
        <w:rPr>
          <w:rFonts w:hint="eastAsia"/>
        </w:rPr>
        <w:t>、《关于委托第三方机构参与预算绩效管理的指导意见》</w:t>
      </w:r>
      <w:r>
        <w:rPr>
          <w:rFonts w:hint="eastAsia"/>
          <w:lang w:eastAsia="zh-CN"/>
        </w:rPr>
        <w:t>（</w:t>
      </w:r>
      <w:r>
        <w:rPr>
          <w:rFonts w:hint="eastAsia"/>
        </w:rPr>
        <w:t>财预〔2021〕6号</w:t>
      </w:r>
      <w:r>
        <w:rPr>
          <w:rFonts w:hint="eastAsia"/>
          <w:lang w:eastAsia="zh-CN"/>
        </w:rPr>
        <w:t>）</w:t>
      </w:r>
      <w:r>
        <w:rPr>
          <w:rFonts w:hint="eastAsia"/>
        </w:rPr>
        <w:t>、《关于进一步加强和规范第三方机构参与预算绩效管理的通知》</w:t>
      </w:r>
      <w:r>
        <w:rPr>
          <w:rFonts w:hint="eastAsia"/>
          <w:lang w:eastAsia="zh-CN"/>
        </w:rPr>
        <w:t>（</w:t>
      </w:r>
      <w:r>
        <w:rPr>
          <w:rFonts w:hint="eastAsia"/>
        </w:rPr>
        <w:t>新财预〔2021〕49号</w:t>
      </w:r>
      <w:r>
        <w:rPr>
          <w:rFonts w:hint="eastAsia"/>
          <w:lang w:eastAsia="zh-CN"/>
        </w:rPr>
        <w:t>）</w:t>
      </w:r>
      <w:r>
        <w:rPr>
          <w:rFonts w:hint="eastAsia"/>
        </w:rPr>
        <w:t>、《自治区党委自治区人民政府关于全面实施预算绩效管理的实施意见》</w:t>
      </w:r>
      <w:r>
        <w:rPr>
          <w:rFonts w:hint="eastAsia"/>
          <w:lang w:eastAsia="zh-CN"/>
        </w:rPr>
        <w:t>（</w:t>
      </w:r>
      <w:r>
        <w:rPr>
          <w:rFonts w:hint="eastAsia"/>
        </w:rPr>
        <w:t>新党发〔2018〕30号</w:t>
      </w:r>
      <w:r>
        <w:rPr>
          <w:rFonts w:hint="eastAsia"/>
          <w:lang w:eastAsia="zh-CN"/>
        </w:rPr>
        <w:t>）、《关于进一步加强和规范喀什地区项目支出“全过程”预算绩效管理结果应用的通知》（喀地财绩〔2022〕2号）</w:t>
      </w:r>
      <w:r>
        <w:rPr>
          <w:rFonts w:hint="eastAsia"/>
        </w:rPr>
        <w:t>等系列文件的要求，受</w:t>
      </w:r>
      <w:r>
        <w:rPr>
          <w:rFonts w:hint="eastAsia"/>
          <w:lang w:eastAsia="zh-CN"/>
        </w:rPr>
        <w:t>贵</w:t>
      </w:r>
      <w:r>
        <w:rPr>
          <w:rFonts w:hint="eastAsia"/>
        </w:rPr>
        <w:t>局的委托，新疆鸿晟达信息咨询有限公司承担了</w:t>
      </w:r>
      <w:r>
        <w:rPr>
          <w:rFonts w:hint="eastAsia"/>
          <w:lang w:val="en-US" w:eastAsia="zh-CN"/>
        </w:rPr>
        <w:t>2025年莎车县困难残疾人生活补贴和重度残疾人护理补贴项目</w:t>
      </w:r>
      <w:r>
        <w:rPr>
          <w:rFonts w:hint="eastAsia"/>
        </w:rPr>
        <w:t>的绩效评价工作并形成绩效评价报告，</w:t>
      </w:r>
      <w:r>
        <w:rPr>
          <w:rFonts w:hint="eastAsia"/>
          <w:lang w:val="en-US" w:eastAsia="zh-CN"/>
        </w:rPr>
        <w:t>莎车县民政局</w:t>
      </w:r>
      <w:r>
        <w:rPr>
          <w:rFonts w:hint="eastAsia"/>
        </w:rPr>
        <w:t>负责提供与本次绩效评价相关的项目资料并保证项目资料的真实、合法、准确和完整，现将项目绩效评价情况报告如下：</w:t>
      </w:r>
      <w:bookmarkEnd w:id="94"/>
      <w:bookmarkEnd w:id="95"/>
      <w:bookmarkEnd w:id="96"/>
    </w:p>
    <w:p w14:paraId="6BF55A24">
      <w:pPr>
        <w:pStyle w:val="5"/>
        <w:bidi w:val="0"/>
        <w:rPr>
          <w:rFonts w:hint="eastAsia"/>
        </w:rPr>
      </w:pPr>
      <w:bookmarkStart w:id="97" w:name="_Toc26564"/>
      <w:bookmarkStart w:id="98" w:name="_Toc19967"/>
      <w:bookmarkStart w:id="99" w:name="_Toc23084"/>
      <w:bookmarkStart w:id="100" w:name="_Toc27110"/>
      <w:bookmarkStart w:id="101" w:name="_Toc19088"/>
      <w:bookmarkStart w:id="102" w:name="_Toc27457"/>
      <w:r>
        <w:rPr>
          <w:rFonts w:hint="eastAsia"/>
          <w:lang w:val="en-US" w:eastAsia="zh-CN"/>
        </w:rPr>
        <w:t>一、基本情况</w:t>
      </w:r>
      <w:bookmarkEnd w:id="97"/>
      <w:bookmarkEnd w:id="98"/>
      <w:bookmarkEnd w:id="99"/>
      <w:bookmarkEnd w:id="100"/>
      <w:bookmarkEnd w:id="101"/>
      <w:bookmarkEnd w:id="102"/>
    </w:p>
    <w:p w14:paraId="2E278202">
      <w:pPr>
        <w:pStyle w:val="6"/>
        <w:bidi w:val="0"/>
        <w:rPr>
          <w:rFonts w:hint="eastAsia"/>
          <w:lang w:val="en-US" w:eastAsia="zh-CN"/>
        </w:rPr>
      </w:pPr>
      <w:bookmarkStart w:id="103" w:name="_Toc2891"/>
      <w:bookmarkStart w:id="104" w:name="_Toc9641"/>
      <w:bookmarkStart w:id="105" w:name="_Toc29457"/>
      <w:bookmarkStart w:id="106" w:name="_Toc30167"/>
      <w:bookmarkStart w:id="107" w:name="_Toc26312"/>
      <w:bookmarkStart w:id="108" w:name="_Toc30475"/>
      <w:bookmarkStart w:id="109" w:name="_Toc24443"/>
      <w:bookmarkStart w:id="110" w:name="_Toc9055"/>
      <w:bookmarkStart w:id="111" w:name="_Toc29025"/>
      <w:r>
        <w:rPr>
          <w:rFonts w:hint="eastAsia"/>
          <w:lang w:val="en-US" w:eastAsia="zh-CN"/>
        </w:rPr>
        <w:t>（一）项目概况</w:t>
      </w:r>
      <w:bookmarkEnd w:id="103"/>
      <w:bookmarkEnd w:id="104"/>
      <w:bookmarkEnd w:id="105"/>
      <w:bookmarkEnd w:id="106"/>
      <w:bookmarkEnd w:id="107"/>
      <w:bookmarkEnd w:id="108"/>
      <w:bookmarkEnd w:id="109"/>
      <w:bookmarkEnd w:id="110"/>
      <w:bookmarkEnd w:id="111"/>
      <w:bookmarkStart w:id="112" w:name="_Toc15646"/>
      <w:bookmarkStart w:id="113" w:name="_Toc3852"/>
      <w:bookmarkStart w:id="114" w:name="_Toc22727"/>
      <w:bookmarkStart w:id="115" w:name="_Toc10012"/>
      <w:bookmarkStart w:id="116" w:name="_Toc16104"/>
      <w:bookmarkStart w:id="117" w:name="_Toc32521"/>
      <w:bookmarkStart w:id="118" w:name="_Toc29206"/>
      <w:bookmarkStart w:id="119" w:name="_Toc1361"/>
    </w:p>
    <w:p w14:paraId="7E8E4A0F">
      <w:pPr>
        <w:pStyle w:val="7"/>
        <w:bidi w:val="0"/>
        <w:rPr>
          <w:rFonts w:hint="eastAsia"/>
          <w:lang w:val="en-US" w:eastAsia="zh-CN"/>
        </w:rPr>
      </w:pPr>
      <w:r>
        <w:rPr>
          <w:rFonts w:hint="eastAsia"/>
          <w:lang w:val="en-US" w:eastAsia="zh-CN"/>
        </w:rPr>
        <w:t>1.项目背景</w:t>
      </w:r>
      <w:bookmarkEnd w:id="112"/>
      <w:bookmarkEnd w:id="113"/>
      <w:bookmarkEnd w:id="114"/>
      <w:bookmarkEnd w:id="115"/>
      <w:bookmarkEnd w:id="116"/>
      <w:bookmarkEnd w:id="117"/>
      <w:bookmarkEnd w:id="118"/>
      <w:bookmarkEnd w:id="119"/>
    </w:p>
    <w:p w14:paraId="6348C641">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bookmarkStart w:id="120" w:name="_Toc21879"/>
      <w:bookmarkStart w:id="121" w:name="_Toc7734"/>
      <w:bookmarkStart w:id="122" w:name="_Toc24534"/>
      <w:bookmarkStart w:id="123" w:name="_Toc344"/>
      <w:r>
        <w:rPr>
          <w:rFonts w:hint="eastAsia"/>
          <w:lang w:val="en-US" w:eastAsia="zh-CN"/>
        </w:rPr>
        <w:t>残疾人是需重点关爱帮扶的特殊困难群体，部分残疾人存在额外生活支出大、长期照护负担重、家庭经济压力突出等问题，是民生保障的重点短板领域。为系统解决残疾人特殊生活困难和长期照护困难，健全残疾人福利保障体系，补齐残疾人民生保障短板，加快推进残疾人小康进程，体现社会公平正义，国家层面统筹部署全面建立残疾人两项补贴制度，填补了全国统一的残疾人专项福利制度空白，成为保障残疾人生存发展权益、巩固拓展脱贫攻坚成果、维护社会和谐稳定的重要民生兜底举措；依据《国务院关于全面建立困难残疾人生活补贴和重度残疾人护理补贴制度的意见》（国发〔2015〕52号）文件，作为全国两项补贴制度的立法源头，明确补贴对象、原则与框架，制度自2016年1月1日起全国实施，覆盖低保家庭残疾人与一、二级重度残疾人；后续结合实施情况持续优化完善，逐步扩大补贴覆盖范围、健全动态调整和精准管理机制，提升残疾人保障水平。2025年，莎车县民政局依据《关于提高全区困难残疾人生活补贴和重度残疾人护理补贴标准的通知》（新民发〔2024〕53号）、《关于提前下达2025年自治区财政困难残疾人生活补贴和重度残疾人护理补贴补助资金的通知》（喀地财社〔2024〕67号）文件要求实施此项目，进一步解决残疾人特殊生活困难和长期护理困难等实际问题，以加快推进残疾人小康进程为目标，以残疾人需求为导向，坚持待遇适度、制度衔接、全面覆盖、公正公开、规范有序、资源统筹、责任共担的原则，落实残疾人专项福利政策，逐步完善残疾人社会保障体系。</w:t>
      </w:r>
    </w:p>
    <w:p w14:paraId="29583F32">
      <w:pPr>
        <w:pStyle w:val="7"/>
        <w:bidi w:val="0"/>
        <w:rPr>
          <w:rFonts w:hint="eastAsia"/>
          <w:lang w:val="en-US" w:eastAsia="zh-CN"/>
        </w:rPr>
      </w:pPr>
      <w:bookmarkStart w:id="124" w:name="_Toc26486"/>
      <w:bookmarkStart w:id="125" w:name="_Toc14877"/>
      <w:bookmarkStart w:id="126" w:name="_Toc13671"/>
      <w:bookmarkStart w:id="127" w:name="_Toc4446"/>
      <w:r>
        <w:rPr>
          <w:rFonts w:hint="eastAsia"/>
          <w:lang w:val="en-US" w:eastAsia="zh-CN"/>
        </w:rPr>
        <w:t>2.项目实施主体</w:t>
      </w:r>
      <w:bookmarkEnd w:id="124"/>
      <w:bookmarkEnd w:id="125"/>
      <w:bookmarkEnd w:id="126"/>
    </w:p>
    <w:p w14:paraId="7A818682">
      <w:pPr>
        <w:bidi w:val="0"/>
        <w:rPr>
          <w:rFonts w:hint="eastAsia"/>
          <w:lang w:val="en-US" w:eastAsia="zh-CN"/>
        </w:rPr>
      </w:pPr>
      <w:r>
        <w:rPr>
          <w:rFonts w:hint="eastAsia"/>
          <w:lang w:val="en-US" w:eastAsia="zh-CN"/>
        </w:rPr>
        <w:t>项目实施主体为莎车县民政局，为正科级单位，主要职责是：</w:t>
      </w:r>
    </w:p>
    <w:p w14:paraId="2DDAE11F">
      <w:pPr>
        <w:bidi w:val="0"/>
        <w:rPr>
          <w:rFonts w:hint="eastAsia"/>
          <w:lang w:val="en-US" w:eastAsia="zh-CN"/>
        </w:rPr>
      </w:pPr>
      <w:r>
        <w:rPr>
          <w:rFonts w:hint="eastAsia"/>
          <w:lang w:val="en-US" w:eastAsia="zh-CN"/>
        </w:rPr>
        <w:t>（1）贯彻执行国家关于民政工作的法律法规、规章、政策和地方性法规；拟定民政事业发展规划并组织实施。</w:t>
      </w:r>
    </w:p>
    <w:p w14:paraId="04DA43B2">
      <w:pPr>
        <w:bidi w:val="0"/>
        <w:rPr>
          <w:rFonts w:hint="eastAsia"/>
          <w:lang w:val="en-US" w:eastAsia="zh-CN"/>
        </w:rPr>
      </w:pPr>
      <w:r>
        <w:rPr>
          <w:rFonts w:hint="eastAsia"/>
          <w:lang w:val="en-US" w:eastAsia="zh-CN"/>
        </w:rPr>
        <w:t>（2）贯彻落实国家、自治区有关社会团体、基金会、社会服务机构等社会组织登记和监督管理政策措施，依法对社会组织进行登记管理和执法监督。</w:t>
      </w:r>
    </w:p>
    <w:p w14:paraId="6E2A186C">
      <w:pPr>
        <w:bidi w:val="0"/>
        <w:rPr>
          <w:rFonts w:hint="eastAsia"/>
          <w:lang w:val="en-US" w:eastAsia="zh-CN"/>
        </w:rPr>
      </w:pPr>
      <w:r>
        <w:rPr>
          <w:rFonts w:hint="eastAsia"/>
          <w:lang w:val="en-US" w:eastAsia="zh-CN"/>
        </w:rPr>
        <w:t>（3）依照国家、自治区社会救助政策、标准，统筹社会救助体系建设，负责城乡居民最低生活保障、特困人员救助供养、临时救助、生活无着流浪乞讨人员救助工作。</w:t>
      </w:r>
    </w:p>
    <w:p w14:paraId="4BC0DD40">
      <w:pPr>
        <w:bidi w:val="0"/>
        <w:rPr>
          <w:rFonts w:hint="eastAsia"/>
          <w:lang w:val="en-US" w:eastAsia="zh-CN"/>
        </w:rPr>
      </w:pPr>
      <w:r>
        <w:rPr>
          <w:rFonts w:hint="eastAsia"/>
          <w:lang w:val="en-US" w:eastAsia="zh-CN"/>
        </w:rPr>
        <w:t>（4）贯彻落实行政区划、行政区域界线和地名管理政策和标准，组织研究全县行政区划总体规划思路建议，按照管理权限牵头负责行政区划设立、命名、变更等申报审核工作；负责行政区域界线勘定和管理工作；指导开展地名管理工作。</w:t>
      </w:r>
    </w:p>
    <w:p w14:paraId="336678E0">
      <w:pPr>
        <w:bidi w:val="0"/>
        <w:rPr>
          <w:rFonts w:hint="eastAsia"/>
          <w:lang w:val="en-US" w:eastAsia="zh-CN"/>
        </w:rPr>
      </w:pPr>
      <w:r>
        <w:rPr>
          <w:rFonts w:hint="eastAsia"/>
          <w:lang w:val="en-US" w:eastAsia="zh-CN"/>
        </w:rPr>
        <w:t>（5）组织实施有关婚姻管理政策，推进婚俗改革。</w:t>
      </w:r>
    </w:p>
    <w:p w14:paraId="3FBBAC8C">
      <w:pPr>
        <w:bidi w:val="0"/>
        <w:rPr>
          <w:rFonts w:hint="eastAsia"/>
          <w:lang w:val="en-US" w:eastAsia="zh-CN"/>
        </w:rPr>
      </w:pPr>
      <w:r>
        <w:rPr>
          <w:rFonts w:hint="eastAsia"/>
          <w:lang w:val="en-US" w:eastAsia="zh-CN"/>
        </w:rPr>
        <w:t>（6）组织实施有关殡葬管理政策、服务规范，推进殡葬改革。</w:t>
      </w:r>
    </w:p>
    <w:p w14:paraId="3AA90DC2">
      <w:pPr>
        <w:bidi w:val="0"/>
        <w:rPr>
          <w:rFonts w:hint="eastAsia"/>
          <w:lang w:val="en-US" w:eastAsia="zh-CN"/>
        </w:rPr>
      </w:pPr>
      <w:r>
        <w:rPr>
          <w:rFonts w:hint="eastAsia"/>
          <w:lang w:val="en-US" w:eastAsia="zh-CN"/>
        </w:rPr>
        <w:t>（7）贯彻落实有关残疾人权益保护政策，统筹推进残疾人福利制度建设和康复辅助器具产业发展。</w:t>
      </w:r>
    </w:p>
    <w:p w14:paraId="12C3850E">
      <w:pPr>
        <w:bidi w:val="0"/>
        <w:rPr>
          <w:rFonts w:hint="eastAsia"/>
          <w:lang w:val="en-US" w:eastAsia="zh-CN"/>
        </w:rPr>
      </w:pPr>
      <w:r>
        <w:rPr>
          <w:rFonts w:hint="eastAsia"/>
          <w:lang w:val="en-US" w:eastAsia="zh-CN"/>
        </w:rPr>
        <w:t>（8）负责协调落实积极应对人口老龄化的政策措施；指导协调老年人权益保障工作；组织实施老年人社会参与政策。</w:t>
      </w:r>
    </w:p>
    <w:p w14:paraId="5A342B7E">
      <w:pPr>
        <w:bidi w:val="0"/>
        <w:rPr>
          <w:rFonts w:hint="eastAsia"/>
          <w:lang w:val="en-US" w:eastAsia="zh-CN"/>
        </w:rPr>
      </w:pPr>
      <w:r>
        <w:rPr>
          <w:rFonts w:hint="eastAsia"/>
          <w:lang w:val="en-US" w:eastAsia="zh-CN"/>
        </w:rPr>
        <w:t>（9）负责协调落实促进养老事业发展的政策措施；统筹推进、督促指导、监督管理养老服务工作，组织实施养老服务体系建设规划、政策、标准，承担老年人福利和特殊困难老年人救助工作。</w:t>
      </w:r>
    </w:p>
    <w:p w14:paraId="541806BC">
      <w:pPr>
        <w:bidi w:val="0"/>
        <w:rPr>
          <w:rFonts w:hint="eastAsia"/>
          <w:lang w:val="en-US" w:eastAsia="zh-CN"/>
        </w:rPr>
      </w:pPr>
      <w:r>
        <w:rPr>
          <w:rFonts w:hint="eastAsia"/>
          <w:lang w:val="en-US" w:eastAsia="zh-CN"/>
        </w:rPr>
        <w:t>（10）贯彻落实有关儿童福利、孤弃儿童保障、儿童收养、儿童救助保护政策和标准，健全农村留守儿童关爱服务体系和困境儿童保障制度。</w:t>
      </w:r>
    </w:p>
    <w:p w14:paraId="3EAFC613">
      <w:pPr>
        <w:bidi w:val="0"/>
        <w:rPr>
          <w:rFonts w:hint="eastAsia"/>
          <w:lang w:val="en-US" w:eastAsia="zh-CN"/>
        </w:rPr>
      </w:pPr>
      <w:r>
        <w:rPr>
          <w:rFonts w:hint="eastAsia"/>
          <w:lang w:val="en-US" w:eastAsia="zh-CN"/>
        </w:rPr>
        <w:t>（11）贯彻落实有关促进慈善事业发展政策，指导社会捐助工作。</w:t>
      </w:r>
    </w:p>
    <w:p w14:paraId="4C2DB12E">
      <w:pPr>
        <w:bidi w:val="0"/>
        <w:rPr>
          <w:rFonts w:hint="eastAsia"/>
          <w:lang w:val="en-US" w:eastAsia="zh-CN"/>
        </w:rPr>
      </w:pPr>
      <w:r>
        <w:rPr>
          <w:rFonts w:hint="eastAsia"/>
          <w:lang w:val="en-US" w:eastAsia="zh-CN"/>
        </w:rPr>
        <w:t>（12）完成县委、县人民政府交办的其他任务。</w:t>
      </w:r>
    </w:p>
    <w:p w14:paraId="04674F1F">
      <w:pPr>
        <w:pStyle w:val="7"/>
        <w:bidi w:val="0"/>
        <w:rPr>
          <w:rFonts w:hint="eastAsia"/>
          <w:lang w:val="en-US" w:eastAsia="zh-CN"/>
        </w:rPr>
      </w:pPr>
      <w:bookmarkStart w:id="128" w:name="_Hlk43849111"/>
      <w:bookmarkEnd w:id="128"/>
      <w:bookmarkStart w:id="129" w:name="_Toc9700"/>
      <w:bookmarkStart w:id="130" w:name="_Toc26591"/>
      <w:bookmarkStart w:id="131" w:name="_Toc14934"/>
      <w:r>
        <w:rPr>
          <w:rFonts w:hint="eastAsia"/>
          <w:lang w:val="en-US" w:eastAsia="zh-CN"/>
        </w:rPr>
        <w:t>3.主要内容及实施情况</w:t>
      </w:r>
      <w:bookmarkEnd w:id="120"/>
      <w:bookmarkEnd w:id="121"/>
      <w:bookmarkEnd w:id="122"/>
      <w:bookmarkEnd w:id="123"/>
      <w:bookmarkEnd w:id="127"/>
      <w:bookmarkEnd w:id="129"/>
      <w:bookmarkEnd w:id="130"/>
      <w:bookmarkEnd w:id="131"/>
    </w:p>
    <w:p w14:paraId="41E47D10">
      <w:pPr>
        <w:bidi w:val="0"/>
        <w:rPr>
          <w:rFonts w:hint="eastAsia"/>
          <w:lang w:val="en-US" w:eastAsia="zh-CN"/>
        </w:rPr>
      </w:pPr>
      <w:bookmarkStart w:id="132" w:name="_Toc13915"/>
      <w:bookmarkStart w:id="133" w:name="_Toc23034"/>
      <w:bookmarkStart w:id="134" w:name="_Toc15437"/>
      <w:bookmarkStart w:id="135" w:name="_Toc27324"/>
      <w:bookmarkStart w:id="136" w:name="_Toc1060"/>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其中，对全县11825名困难残疾人发放生活补贴，生活补贴标准为120元/人/月；对全县8771名重度残疾人发放护理补贴，护理补贴标准为120元/人/月。确保困难残疾人生活补助和重度残疾人护理补贴资金及时发放，提升残疾人的生活质量。</w:t>
      </w:r>
    </w:p>
    <w:p w14:paraId="3A7F4F2C">
      <w:pPr>
        <w:bidi w:val="0"/>
        <w:rPr>
          <w:rFonts w:hint="eastAsia"/>
          <w:lang w:val="en-US" w:eastAsia="zh-CN"/>
        </w:rPr>
      </w:pPr>
      <w:r>
        <w:rPr>
          <w:rFonts w:hint="eastAsia"/>
          <w:lang w:val="en-US" w:eastAsia="zh-CN"/>
        </w:rPr>
        <w:t>截至2025年12月31日，项目资金支出2940.86万元，完成全县11825名困难残疾人生活补贴和全县8771名重度残疾人护理补贴发放，标准均为120元/人/月，有效提升残疾人的生活质量，改善残疾人生活条件。</w:t>
      </w:r>
    </w:p>
    <w:p w14:paraId="021CE79C">
      <w:pPr>
        <w:pStyle w:val="7"/>
        <w:bidi w:val="0"/>
        <w:rPr>
          <w:rFonts w:hint="eastAsia"/>
          <w:lang w:val="en-US" w:eastAsia="zh-CN"/>
        </w:rPr>
      </w:pPr>
      <w:r>
        <w:rPr>
          <w:rFonts w:hint="eastAsia"/>
          <w:lang w:val="en-US" w:eastAsia="zh-CN"/>
        </w:rPr>
        <w:t>4.</w:t>
      </w:r>
      <w:bookmarkEnd w:id="132"/>
      <w:r>
        <w:rPr>
          <w:rFonts w:hint="eastAsia"/>
          <w:lang w:val="en-US" w:eastAsia="zh-CN"/>
        </w:rPr>
        <w:t>资金投入和使用情况</w:t>
      </w:r>
    </w:p>
    <w:p w14:paraId="7B307393">
      <w:pPr>
        <w:bidi w:val="0"/>
        <w:rPr>
          <w:rFonts w:hint="eastAsia"/>
          <w:lang w:val="en-US" w:eastAsia="zh-CN"/>
        </w:rPr>
      </w:pPr>
      <w:r>
        <w:rPr>
          <w:rFonts w:hint="eastAsia"/>
          <w:lang w:val="en-US" w:eastAsia="zh-CN"/>
        </w:rPr>
        <w:t>该项目预算资金总额为2941万元，其中：财政资金2941万元，其他资金0万元。根据《关于提高全区困难残疾人生活补贴和重度残疾人护理补贴标准的通知》（新民发〔2024〕53号）《关于提前下达2025年自治区财政困难残疾人生活补贴和重度残疾人护理补贴补助资金的通知》（喀地财社〔2024〕67号）文件，实际到位资金2941万元，其中：财政资金2941万元，其他资金0万元，资金到位率为100%。</w:t>
      </w:r>
    </w:p>
    <w:p w14:paraId="741F4A49">
      <w:pPr>
        <w:bidi w:val="0"/>
        <w:rPr>
          <w:rFonts w:hint="eastAsia"/>
          <w:lang w:val="en-US" w:eastAsia="zh-CN"/>
        </w:rPr>
      </w:pPr>
      <w:r>
        <w:rPr>
          <w:rFonts w:hint="eastAsia"/>
          <w:lang w:val="en-US" w:eastAsia="zh-CN"/>
        </w:rPr>
        <w:t>截至2025年12月31日，项目实际支出2940.86万元，项目预算执行率99.995%，基本全额执行。资金主要用于完成全县11825名困难残疾人生活补贴和全县8771名重度残疾人护理补贴发放，标准均为120元/人/月，有效提升残疾人的生活质量，改善残疾人生活条件。</w:t>
      </w:r>
    </w:p>
    <w:tbl>
      <w:tblPr>
        <w:tblStyle w:val="15"/>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7"/>
        <w:gridCol w:w="2400"/>
        <w:gridCol w:w="2808"/>
        <w:gridCol w:w="2134"/>
      </w:tblGrid>
      <w:tr w14:paraId="4972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429" w:type="dxa"/>
            <w:gridSpan w:val="4"/>
            <w:tcBorders>
              <w:top w:val="nil"/>
              <w:left w:val="nil"/>
              <w:bottom w:val="nil"/>
              <w:right w:val="nil"/>
            </w:tcBorders>
            <w:shd w:val="clear" w:color="auto" w:fill="auto"/>
            <w:vAlign w:val="bottom"/>
          </w:tcPr>
          <w:p w14:paraId="5A2C5D76">
            <w:pPr>
              <w:keepNext w:val="0"/>
              <w:keepLines w:val="0"/>
              <w:widowControl/>
              <w:suppressLineNumbers w:val="0"/>
              <w:spacing w:before="0" w:beforeAutospacing="0" w:after="0" w:afterAutospacing="0"/>
              <w:ind w:left="0" w:right="0" w:firstLineChars="200"/>
              <w:jc w:val="center"/>
              <w:textAlignment w:val="bottom"/>
              <w:rPr>
                <w:rFonts w:hint="eastAsia"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2025年莎车县困难残疾人生活补贴和重度残疾人护理补贴项目</w:t>
            </w:r>
          </w:p>
          <w:p w14:paraId="484BFB3A">
            <w:pPr>
              <w:keepNext w:val="0"/>
              <w:keepLines w:val="0"/>
              <w:widowControl/>
              <w:suppressLineNumbers w:val="0"/>
              <w:spacing w:before="0" w:beforeAutospacing="0" w:after="0" w:afterAutospacing="0"/>
              <w:ind w:left="0" w:right="0" w:firstLineChars="200"/>
              <w:jc w:val="center"/>
              <w:textAlignment w:val="bottom"/>
              <w:rPr>
                <w:rFonts w:hint="default"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资金支出情况表</w:t>
            </w:r>
          </w:p>
        </w:tc>
      </w:tr>
      <w:tr w14:paraId="62F01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single" w:color="000000" w:sz="8" w:space="0"/>
              <w:left w:val="single" w:color="000000" w:sz="8" w:space="0"/>
              <w:bottom w:val="single" w:color="000000" w:sz="8" w:space="0"/>
              <w:right w:val="single" w:color="000000" w:sz="8" w:space="0"/>
            </w:tcBorders>
            <w:shd w:val="clear" w:color="auto" w:fill="auto"/>
            <w:noWrap/>
            <w:vAlign w:val="bottom"/>
          </w:tcPr>
          <w:p w14:paraId="6C660B97">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00" w:type="dxa"/>
            <w:tcBorders>
              <w:top w:val="single" w:color="000000" w:sz="8" w:space="0"/>
              <w:left w:val="nil"/>
              <w:bottom w:val="single" w:color="000000" w:sz="8" w:space="0"/>
              <w:right w:val="single" w:color="000000" w:sz="8" w:space="0"/>
            </w:tcBorders>
            <w:shd w:val="clear" w:color="auto" w:fill="auto"/>
            <w:noWrap/>
            <w:vAlign w:val="bottom"/>
          </w:tcPr>
          <w:p w14:paraId="3D580535">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支出时间（年/月）</w:t>
            </w:r>
          </w:p>
        </w:tc>
        <w:tc>
          <w:tcPr>
            <w:tcW w:w="2808" w:type="dxa"/>
            <w:tcBorders>
              <w:top w:val="single" w:color="000000" w:sz="8" w:space="0"/>
              <w:left w:val="nil"/>
              <w:bottom w:val="single" w:color="000000" w:sz="8" w:space="0"/>
              <w:right w:val="single" w:color="000000" w:sz="8" w:space="0"/>
            </w:tcBorders>
            <w:shd w:val="clear" w:color="auto" w:fill="auto"/>
            <w:noWrap/>
            <w:vAlign w:val="bottom"/>
          </w:tcPr>
          <w:p w14:paraId="629BC5A8">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摘要</w:t>
            </w:r>
          </w:p>
        </w:tc>
        <w:tc>
          <w:tcPr>
            <w:tcW w:w="2134" w:type="dxa"/>
            <w:tcBorders>
              <w:top w:val="single" w:color="000000" w:sz="8" w:space="0"/>
              <w:left w:val="nil"/>
              <w:bottom w:val="single" w:color="000000" w:sz="8" w:space="0"/>
              <w:right w:val="single" w:color="000000" w:sz="8" w:space="0"/>
            </w:tcBorders>
            <w:shd w:val="clear" w:color="auto" w:fill="auto"/>
            <w:noWrap/>
            <w:vAlign w:val="bottom"/>
          </w:tcPr>
          <w:p w14:paraId="6901B825">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金额（万元）</w:t>
            </w:r>
          </w:p>
        </w:tc>
      </w:tr>
      <w:tr w14:paraId="4766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76B2EDA1">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00" w:type="dxa"/>
            <w:tcBorders>
              <w:top w:val="nil"/>
              <w:left w:val="nil"/>
              <w:bottom w:val="single" w:color="000000" w:sz="8" w:space="0"/>
              <w:right w:val="single" w:color="000000" w:sz="8" w:space="0"/>
            </w:tcBorders>
            <w:shd w:val="clear" w:color="auto" w:fill="auto"/>
            <w:noWrap/>
            <w:vAlign w:val="bottom"/>
          </w:tcPr>
          <w:p w14:paraId="776C5E6A">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2025年1月</w:t>
            </w:r>
          </w:p>
        </w:tc>
        <w:tc>
          <w:tcPr>
            <w:tcW w:w="2808" w:type="dxa"/>
            <w:tcBorders>
              <w:top w:val="nil"/>
              <w:left w:val="nil"/>
              <w:bottom w:val="single" w:color="000000" w:sz="8" w:space="0"/>
              <w:right w:val="single" w:color="000000" w:sz="8" w:space="0"/>
            </w:tcBorders>
            <w:shd w:val="clear" w:color="auto" w:fill="auto"/>
            <w:noWrap/>
            <w:vAlign w:val="bottom"/>
          </w:tcPr>
          <w:p w14:paraId="19518E45">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4B039D1B">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295.87</w:t>
            </w:r>
          </w:p>
        </w:tc>
      </w:tr>
      <w:tr w14:paraId="68D7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2A957DA2">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00" w:type="dxa"/>
            <w:tcBorders>
              <w:top w:val="nil"/>
              <w:left w:val="nil"/>
              <w:bottom w:val="single" w:color="000000" w:sz="8" w:space="0"/>
              <w:right w:val="single" w:color="000000" w:sz="8" w:space="0"/>
            </w:tcBorders>
            <w:shd w:val="clear" w:color="auto" w:fill="auto"/>
            <w:noWrap/>
            <w:vAlign w:val="bottom"/>
          </w:tcPr>
          <w:p w14:paraId="55F67E7A">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2025年2月</w:t>
            </w:r>
          </w:p>
        </w:tc>
        <w:tc>
          <w:tcPr>
            <w:tcW w:w="2808" w:type="dxa"/>
            <w:tcBorders>
              <w:top w:val="nil"/>
              <w:left w:val="nil"/>
              <w:bottom w:val="single" w:color="000000" w:sz="8" w:space="0"/>
              <w:right w:val="single" w:color="000000" w:sz="8" w:space="0"/>
            </w:tcBorders>
            <w:shd w:val="clear" w:color="auto" w:fill="auto"/>
            <w:noWrap/>
            <w:vAlign w:val="bottom"/>
          </w:tcPr>
          <w:p w14:paraId="26DC252A">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732499DD">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240.73</w:t>
            </w:r>
          </w:p>
        </w:tc>
      </w:tr>
      <w:tr w14:paraId="66D1E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4940D1DD">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2400" w:type="dxa"/>
            <w:tcBorders>
              <w:top w:val="nil"/>
              <w:left w:val="nil"/>
              <w:bottom w:val="single" w:color="000000" w:sz="8" w:space="0"/>
              <w:right w:val="single" w:color="000000" w:sz="8" w:space="0"/>
            </w:tcBorders>
            <w:shd w:val="clear" w:color="auto" w:fill="auto"/>
            <w:noWrap/>
            <w:vAlign w:val="bottom"/>
          </w:tcPr>
          <w:p w14:paraId="3DA60192">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2025年3月</w:t>
            </w:r>
          </w:p>
        </w:tc>
        <w:tc>
          <w:tcPr>
            <w:tcW w:w="2808" w:type="dxa"/>
            <w:tcBorders>
              <w:top w:val="nil"/>
              <w:left w:val="nil"/>
              <w:bottom w:val="single" w:color="000000" w:sz="8" w:space="0"/>
              <w:right w:val="single" w:color="000000" w:sz="8" w:space="0"/>
            </w:tcBorders>
            <w:shd w:val="clear" w:color="auto" w:fill="auto"/>
            <w:noWrap/>
            <w:vAlign w:val="bottom"/>
          </w:tcPr>
          <w:p w14:paraId="272ACAB0">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3A728688">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241.08</w:t>
            </w:r>
          </w:p>
        </w:tc>
      </w:tr>
      <w:tr w14:paraId="0DFB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26418401">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2400" w:type="dxa"/>
            <w:tcBorders>
              <w:top w:val="nil"/>
              <w:left w:val="nil"/>
              <w:bottom w:val="single" w:color="000000" w:sz="8" w:space="0"/>
              <w:right w:val="single" w:color="000000" w:sz="8" w:space="0"/>
            </w:tcBorders>
            <w:shd w:val="clear" w:color="auto" w:fill="auto"/>
            <w:noWrap/>
            <w:vAlign w:val="bottom"/>
          </w:tcPr>
          <w:p w14:paraId="3240EACF">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2025年4月</w:t>
            </w:r>
          </w:p>
        </w:tc>
        <w:tc>
          <w:tcPr>
            <w:tcW w:w="2808" w:type="dxa"/>
            <w:tcBorders>
              <w:top w:val="nil"/>
              <w:left w:val="nil"/>
              <w:bottom w:val="single" w:color="000000" w:sz="8" w:space="0"/>
              <w:right w:val="single" w:color="000000" w:sz="8" w:space="0"/>
            </w:tcBorders>
            <w:shd w:val="clear" w:color="auto" w:fill="auto"/>
            <w:noWrap/>
            <w:vAlign w:val="bottom"/>
          </w:tcPr>
          <w:p w14:paraId="2AD9680C">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537A569D">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241.03</w:t>
            </w:r>
          </w:p>
        </w:tc>
      </w:tr>
      <w:tr w14:paraId="0FB5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71D02050">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2400" w:type="dxa"/>
            <w:tcBorders>
              <w:top w:val="nil"/>
              <w:left w:val="nil"/>
              <w:bottom w:val="single" w:color="000000" w:sz="8" w:space="0"/>
              <w:right w:val="single" w:color="000000" w:sz="8" w:space="0"/>
            </w:tcBorders>
            <w:shd w:val="clear" w:color="auto" w:fill="auto"/>
            <w:noWrap/>
            <w:vAlign w:val="bottom"/>
          </w:tcPr>
          <w:p w14:paraId="4C036998">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2025年5月</w:t>
            </w:r>
          </w:p>
        </w:tc>
        <w:tc>
          <w:tcPr>
            <w:tcW w:w="2808" w:type="dxa"/>
            <w:tcBorders>
              <w:top w:val="nil"/>
              <w:left w:val="nil"/>
              <w:bottom w:val="single" w:color="000000" w:sz="8" w:space="0"/>
              <w:right w:val="single" w:color="000000" w:sz="8" w:space="0"/>
            </w:tcBorders>
            <w:shd w:val="clear" w:color="auto" w:fill="auto"/>
            <w:noWrap/>
            <w:vAlign w:val="bottom"/>
          </w:tcPr>
          <w:p w14:paraId="4CE0EDEC">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3BB6FA77">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241.39</w:t>
            </w:r>
          </w:p>
        </w:tc>
      </w:tr>
      <w:tr w14:paraId="6D76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438355DF">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2400" w:type="dxa"/>
            <w:tcBorders>
              <w:top w:val="nil"/>
              <w:left w:val="nil"/>
              <w:bottom w:val="single" w:color="000000" w:sz="8" w:space="0"/>
              <w:right w:val="single" w:color="000000" w:sz="8" w:space="0"/>
            </w:tcBorders>
            <w:shd w:val="clear" w:color="auto" w:fill="auto"/>
            <w:noWrap/>
            <w:vAlign w:val="bottom"/>
          </w:tcPr>
          <w:p w14:paraId="27975460">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2025年6月</w:t>
            </w:r>
          </w:p>
        </w:tc>
        <w:tc>
          <w:tcPr>
            <w:tcW w:w="2808" w:type="dxa"/>
            <w:tcBorders>
              <w:top w:val="nil"/>
              <w:left w:val="nil"/>
              <w:bottom w:val="single" w:color="000000" w:sz="8" w:space="0"/>
              <w:right w:val="single" w:color="000000" w:sz="8" w:space="0"/>
            </w:tcBorders>
            <w:shd w:val="clear" w:color="auto" w:fill="auto"/>
            <w:noWrap/>
            <w:vAlign w:val="bottom"/>
          </w:tcPr>
          <w:p w14:paraId="1F65FB32">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1D927321">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241.93</w:t>
            </w:r>
          </w:p>
        </w:tc>
      </w:tr>
      <w:tr w14:paraId="40C6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30CEB23D">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2400" w:type="dxa"/>
            <w:tcBorders>
              <w:top w:val="nil"/>
              <w:left w:val="nil"/>
              <w:bottom w:val="single" w:color="000000" w:sz="8" w:space="0"/>
              <w:right w:val="single" w:color="000000" w:sz="8" w:space="0"/>
            </w:tcBorders>
            <w:shd w:val="clear" w:color="auto" w:fill="auto"/>
            <w:noWrap/>
            <w:vAlign w:val="bottom"/>
          </w:tcPr>
          <w:p w14:paraId="30CF790F">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2025年7月</w:t>
            </w:r>
          </w:p>
        </w:tc>
        <w:tc>
          <w:tcPr>
            <w:tcW w:w="2808" w:type="dxa"/>
            <w:tcBorders>
              <w:top w:val="nil"/>
              <w:left w:val="nil"/>
              <w:bottom w:val="single" w:color="000000" w:sz="8" w:space="0"/>
              <w:right w:val="single" w:color="000000" w:sz="8" w:space="0"/>
            </w:tcBorders>
            <w:shd w:val="clear" w:color="auto" w:fill="auto"/>
            <w:noWrap/>
            <w:vAlign w:val="bottom"/>
          </w:tcPr>
          <w:p w14:paraId="635B969F">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180ACD62">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244.49</w:t>
            </w:r>
          </w:p>
        </w:tc>
      </w:tr>
      <w:tr w14:paraId="6EEED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4D704ABA">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2400" w:type="dxa"/>
            <w:tcBorders>
              <w:top w:val="nil"/>
              <w:left w:val="nil"/>
              <w:bottom w:val="single" w:color="000000" w:sz="8" w:space="0"/>
              <w:right w:val="single" w:color="000000" w:sz="8" w:space="0"/>
            </w:tcBorders>
            <w:shd w:val="clear" w:color="auto" w:fill="auto"/>
            <w:noWrap/>
            <w:vAlign w:val="bottom"/>
          </w:tcPr>
          <w:p w14:paraId="248B9E83">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2025年8月</w:t>
            </w:r>
          </w:p>
        </w:tc>
        <w:tc>
          <w:tcPr>
            <w:tcW w:w="2808" w:type="dxa"/>
            <w:tcBorders>
              <w:top w:val="nil"/>
              <w:left w:val="nil"/>
              <w:bottom w:val="single" w:color="000000" w:sz="8" w:space="0"/>
              <w:right w:val="single" w:color="000000" w:sz="8" w:space="0"/>
            </w:tcBorders>
            <w:shd w:val="clear" w:color="auto" w:fill="auto"/>
            <w:noWrap/>
            <w:vAlign w:val="bottom"/>
          </w:tcPr>
          <w:p w14:paraId="7AE84062">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28A3A2CF">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245.8</w:t>
            </w:r>
          </w:p>
        </w:tc>
      </w:tr>
      <w:tr w14:paraId="45A5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06A4BC39">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2400" w:type="dxa"/>
            <w:tcBorders>
              <w:top w:val="nil"/>
              <w:left w:val="nil"/>
              <w:bottom w:val="single" w:color="000000" w:sz="8" w:space="0"/>
              <w:right w:val="single" w:color="000000" w:sz="8" w:space="0"/>
            </w:tcBorders>
            <w:shd w:val="clear" w:color="auto" w:fill="auto"/>
            <w:noWrap/>
            <w:vAlign w:val="bottom"/>
          </w:tcPr>
          <w:p w14:paraId="4F369059">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2025年9月</w:t>
            </w:r>
          </w:p>
        </w:tc>
        <w:tc>
          <w:tcPr>
            <w:tcW w:w="2808" w:type="dxa"/>
            <w:tcBorders>
              <w:top w:val="nil"/>
              <w:left w:val="nil"/>
              <w:bottom w:val="single" w:color="000000" w:sz="8" w:space="0"/>
              <w:right w:val="single" w:color="000000" w:sz="8" w:space="0"/>
            </w:tcBorders>
            <w:shd w:val="clear" w:color="auto" w:fill="auto"/>
            <w:noWrap/>
            <w:vAlign w:val="bottom"/>
          </w:tcPr>
          <w:p w14:paraId="1ADA9775">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0ADF8C7C">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246.68</w:t>
            </w:r>
          </w:p>
        </w:tc>
      </w:tr>
      <w:tr w14:paraId="6D950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289101BD">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400" w:type="dxa"/>
            <w:tcBorders>
              <w:top w:val="nil"/>
              <w:left w:val="nil"/>
              <w:bottom w:val="single" w:color="000000" w:sz="8" w:space="0"/>
              <w:right w:val="single" w:color="000000" w:sz="8" w:space="0"/>
            </w:tcBorders>
            <w:shd w:val="clear" w:color="auto" w:fill="auto"/>
            <w:noWrap/>
            <w:vAlign w:val="bottom"/>
          </w:tcPr>
          <w:p w14:paraId="362609E9">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2025年10月</w:t>
            </w:r>
          </w:p>
        </w:tc>
        <w:tc>
          <w:tcPr>
            <w:tcW w:w="2808" w:type="dxa"/>
            <w:tcBorders>
              <w:top w:val="nil"/>
              <w:left w:val="nil"/>
              <w:bottom w:val="single" w:color="000000" w:sz="8" w:space="0"/>
              <w:right w:val="single" w:color="000000" w:sz="8" w:space="0"/>
            </w:tcBorders>
            <w:shd w:val="clear" w:color="auto" w:fill="auto"/>
            <w:noWrap/>
            <w:vAlign w:val="bottom"/>
          </w:tcPr>
          <w:p w14:paraId="76908085">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3FA4B899">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246.95</w:t>
            </w:r>
          </w:p>
        </w:tc>
      </w:tr>
      <w:tr w14:paraId="713C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3C58A412">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2400" w:type="dxa"/>
            <w:tcBorders>
              <w:top w:val="nil"/>
              <w:left w:val="nil"/>
              <w:bottom w:val="single" w:color="000000" w:sz="8" w:space="0"/>
              <w:right w:val="single" w:color="000000" w:sz="8" w:space="0"/>
            </w:tcBorders>
            <w:shd w:val="clear" w:color="auto" w:fill="auto"/>
            <w:noWrap/>
            <w:vAlign w:val="bottom"/>
          </w:tcPr>
          <w:p w14:paraId="4BF4F1A4">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2025年11月</w:t>
            </w:r>
          </w:p>
        </w:tc>
        <w:tc>
          <w:tcPr>
            <w:tcW w:w="2808" w:type="dxa"/>
            <w:tcBorders>
              <w:top w:val="nil"/>
              <w:left w:val="nil"/>
              <w:bottom w:val="single" w:color="000000" w:sz="8" w:space="0"/>
              <w:right w:val="single" w:color="000000" w:sz="8" w:space="0"/>
            </w:tcBorders>
            <w:shd w:val="clear" w:color="auto" w:fill="auto"/>
            <w:noWrap/>
            <w:vAlign w:val="bottom"/>
          </w:tcPr>
          <w:p w14:paraId="1B228D81">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460C8925">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247.36</w:t>
            </w:r>
          </w:p>
        </w:tc>
      </w:tr>
      <w:tr w14:paraId="22757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7" w:type="dxa"/>
            <w:tcBorders>
              <w:top w:val="nil"/>
              <w:left w:val="single" w:color="000000" w:sz="8" w:space="0"/>
              <w:bottom w:val="single" w:color="000000" w:sz="8" w:space="0"/>
              <w:right w:val="single" w:color="000000" w:sz="8" w:space="0"/>
            </w:tcBorders>
            <w:shd w:val="clear" w:color="auto" w:fill="auto"/>
            <w:noWrap/>
            <w:vAlign w:val="bottom"/>
          </w:tcPr>
          <w:p w14:paraId="1A8C4BE3">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2400" w:type="dxa"/>
            <w:tcBorders>
              <w:top w:val="nil"/>
              <w:left w:val="nil"/>
              <w:bottom w:val="single" w:color="000000" w:sz="8" w:space="0"/>
              <w:right w:val="single" w:color="000000" w:sz="8" w:space="0"/>
            </w:tcBorders>
            <w:shd w:val="clear" w:color="auto" w:fill="auto"/>
            <w:noWrap/>
            <w:vAlign w:val="bottom"/>
          </w:tcPr>
          <w:p w14:paraId="532F2D91">
            <w:pPr>
              <w:keepNext w:val="0"/>
              <w:keepLines w:val="0"/>
              <w:widowControl/>
              <w:suppressLineNumbers w:val="0"/>
              <w:spacing w:before="0" w:beforeAutospacing="0" w:after="0" w:afterAutospacing="0"/>
              <w:ind w:left="0" w:right="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2025年12月</w:t>
            </w:r>
          </w:p>
        </w:tc>
        <w:tc>
          <w:tcPr>
            <w:tcW w:w="2808" w:type="dxa"/>
            <w:tcBorders>
              <w:top w:val="nil"/>
              <w:left w:val="nil"/>
              <w:bottom w:val="single" w:color="000000" w:sz="8" w:space="0"/>
              <w:right w:val="single" w:color="000000" w:sz="8" w:space="0"/>
            </w:tcBorders>
            <w:shd w:val="clear" w:color="auto" w:fill="auto"/>
            <w:noWrap/>
            <w:vAlign w:val="bottom"/>
          </w:tcPr>
          <w:p w14:paraId="32B8C011">
            <w:pPr>
              <w:keepNext w:val="0"/>
              <w:keepLines w:val="0"/>
              <w:widowControl/>
              <w:suppressLineNumbers w:val="0"/>
              <w:spacing w:before="0" w:beforeAutospacing="0" w:after="0" w:afterAutospacing="0"/>
              <w:ind w:left="0" w:leftChars="0" w:right="0" w:firstLine="0" w:firstLineChars="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生活补贴、护理补贴</w:t>
            </w:r>
          </w:p>
        </w:tc>
        <w:tc>
          <w:tcPr>
            <w:tcW w:w="2134" w:type="dxa"/>
            <w:tcBorders>
              <w:top w:val="nil"/>
              <w:left w:val="nil"/>
              <w:bottom w:val="single" w:color="000000" w:sz="8" w:space="0"/>
              <w:right w:val="single" w:color="000000" w:sz="8" w:space="0"/>
            </w:tcBorders>
            <w:shd w:val="clear" w:color="auto" w:fill="auto"/>
            <w:noWrap/>
            <w:vAlign w:val="bottom"/>
          </w:tcPr>
          <w:p w14:paraId="40BF3A2C">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207.55</w:t>
            </w:r>
          </w:p>
        </w:tc>
      </w:tr>
      <w:tr w14:paraId="10B2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295" w:type="dxa"/>
            <w:gridSpan w:val="3"/>
            <w:tcBorders>
              <w:top w:val="nil"/>
              <w:left w:val="single" w:color="000000" w:sz="8" w:space="0"/>
              <w:bottom w:val="single" w:color="000000" w:sz="8" w:space="0"/>
              <w:right w:val="single" w:color="000000" w:sz="8" w:space="0"/>
            </w:tcBorders>
            <w:shd w:val="clear" w:color="auto" w:fill="auto"/>
            <w:noWrap/>
            <w:vAlign w:val="bottom"/>
          </w:tcPr>
          <w:p w14:paraId="2193FAE6">
            <w:pPr>
              <w:keepNext w:val="0"/>
              <w:keepLines w:val="0"/>
              <w:widowControl/>
              <w:suppressLineNumbers w:val="0"/>
              <w:spacing w:before="0" w:beforeAutospacing="0" w:after="0" w:afterAutospacing="0"/>
              <w:ind w:left="0" w:right="0" w:firstLineChars="200"/>
              <w:jc w:val="center"/>
              <w:textAlignment w:val="bottom"/>
              <w:rPr>
                <w:rFonts w:hint="eastAsia" w:ascii="方正仿宋_GBK" w:hAnsi="方正仿宋_GBK" w:eastAsia="方正仿宋_GBK" w:cs="方正仿宋_GBK"/>
                <w:b w:val="0"/>
                <w:bCs w:val="0"/>
                <w:i w:val="0"/>
                <w:iCs w:val="0"/>
                <w:color w:val="000000"/>
                <w:sz w:val="24"/>
                <w:szCs w:val="24"/>
                <w:u w:val="none"/>
              </w:rPr>
            </w:pPr>
            <w:r>
              <w:rPr>
                <w:rFonts w:hint="eastAsia" w:ascii="方正仿宋_GBK" w:hAnsi="方正仿宋_GBK" w:eastAsia="方正仿宋_GBK" w:cs="方正仿宋_GBK"/>
                <w:b w:val="0"/>
                <w:bCs w:val="0"/>
                <w:i w:val="0"/>
                <w:iCs w:val="0"/>
                <w:color w:val="000000"/>
                <w:kern w:val="0"/>
                <w:sz w:val="24"/>
                <w:szCs w:val="24"/>
                <w:u w:val="none"/>
                <w:lang w:val="en-US" w:eastAsia="zh-CN" w:bidi="ar"/>
              </w:rPr>
              <w:t>合计（万元）</w:t>
            </w:r>
          </w:p>
        </w:tc>
        <w:tc>
          <w:tcPr>
            <w:tcW w:w="2134" w:type="dxa"/>
            <w:tcBorders>
              <w:top w:val="nil"/>
              <w:left w:val="nil"/>
              <w:bottom w:val="single" w:color="000000" w:sz="8" w:space="0"/>
              <w:right w:val="single" w:color="000000" w:sz="8" w:space="0"/>
            </w:tcBorders>
            <w:shd w:val="clear" w:color="auto" w:fill="auto"/>
            <w:noWrap/>
            <w:vAlign w:val="bottom"/>
          </w:tcPr>
          <w:p w14:paraId="0F107CDB">
            <w:pPr>
              <w:keepNext w:val="0"/>
              <w:keepLines w:val="0"/>
              <w:widowControl/>
              <w:suppressLineNumbers w:val="0"/>
              <w:spacing w:before="0" w:beforeAutospacing="0" w:after="0" w:afterAutospacing="0"/>
              <w:ind w:left="0" w:right="0" w:firstLineChars="200"/>
              <w:jc w:val="both"/>
              <w:textAlignment w:val="bottom"/>
              <w:rPr>
                <w:rFonts w:hint="eastAsia" w:ascii="方正仿宋_GBK" w:hAnsi="方正仿宋_GBK" w:eastAsia="方正仿宋_GBK" w:cs="方正仿宋_GBK"/>
                <w:b w:val="0"/>
                <w:bCs w:val="0"/>
                <w:i w:val="0"/>
                <w:iCs w:val="0"/>
                <w:color w:val="000000"/>
                <w:sz w:val="24"/>
                <w:szCs w:val="24"/>
                <w:u w:val="none"/>
              </w:rPr>
            </w:pPr>
            <w:r>
              <w:rPr>
                <w:rFonts w:hint="eastAsia" w:ascii="方正仿宋_GBK" w:hAnsi="方正仿宋_GBK" w:eastAsia="方正仿宋_GBK" w:cs="方正仿宋_GBK"/>
                <w:b w:val="0"/>
                <w:bCs w:val="0"/>
                <w:i w:val="0"/>
                <w:iCs w:val="0"/>
                <w:color w:val="000000"/>
                <w:kern w:val="0"/>
                <w:sz w:val="24"/>
                <w:szCs w:val="24"/>
                <w:u w:val="none"/>
                <w:lang w:val="en-US" w:eastAsia="zh-CN" w:bidi="ar"/>
              </w:rPr>
              <w:t>2940.86</w:t>
            </w:r>
          </w:p>
        </w:tc>
      </w:tr>
    </w:tbl>
    <w:p w14:paraId="228A9854">
      <w:pPr>
        <w:pStyle w:val="2"/>
        <w:rPr>
          <w:rFonts w:hint="eastAsia"/>
          <w:lang w:val="en-US" w:eastAsia="zh-CN"/>
        </w:rPr>
      </w:pPr>
    </w:p>
    <w:p w14:paraId="012E3943">
      <w:pPr>
        <w:pStyle w:val="7"/>
        <w:bidi w:val="0"/>
        <w:rPr>
          <w:rFonts w:hint="eastAsia"/>
          <w:lang w:val="en-US" w:eastAsia="zh-CN"/>
        </w:rPr>
      </w:pPr>
      <w:r>
        <w:rPr>
          <w:rFonts w:hint="eastAsia"/>
          <w:lang w:val="en-US" w:eastAsia="zh-CN"/>
        </w:rPr>
        <w:t>5.项目组织及管理情况</w:t>
      </w:r>
    </w:p>
    <w:p w14:paraId="2C4BAB51">
      <w:pPr>
        <w:bidi w:val="0"/>
        <w:rPr>
          <w:rFonts w:hint="default"/>
          <w:lang w:val="en-US" w:eastAsia="zh-CN"/>
        </w:rPr>
      </w:pPr>
      <w:bookmarkStart w:id="137" w:name="_Toc14091"/>
      <w:bookmarkStart w:id="138" w:name="_Toc15699"/>
      <w:bookmarkStart w:id="139" w:name="_Toc13204"/>
      <w:bookmarkStart w:id="140" w:name="_Toc4665"/>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项目组织情况</w:t>
      </w:r>
    </w:p>
    <w:p w14:paraId="3E5E8202">
      <w:pPr>
        <w:bidi w:val="0"/>
        <w:rPr>
          <w:rFonts w:hint="eastAsia"/>
          <w:lang w:val="en-US" w:eastAsia="zh-CN"/>
        </w:rPr>
      </w:pPr>
      <w:r>
        <w:rPr>
          <w:rFonts w:hint="eastAsia"/>
          <w:lang w:val="en-US" w:eastAsia="zh-CN"/>
        </w:rPr>
        <w:t>莎车县民政局是预算主管部门，负责所属单位财政支出部门预算编报审核、执行监管、调整审核、决算管理，负责对预算单位内控管理的监督，负责财政支出资金绩效管理。</w:t>
      </w:r>
    </w:p>
    <w:p w14:paraId="65D9A043">
      <w:pPr>
        <w:bidi w:val="0"/>
        <w:rPr>
          <w:rFonts w:hint="eastAsia"/>
          <w:lang w:val="en-US" w:eastAsia="zh-CN"/>
        </w:rPr>
      </w:pPr>
      <w:r>
        <w:rPr>
          <w:rFonts w:hint="eastAsia"/>
          <w:lang w:val="en-US" w:eastAsia="zh-CN"/>
        </w:rPr>
        <w:t>莎车县财政局是政府财政资金主管部门，负责建立政府预算项目库，负责财政部门预算、财政专项资金的预算管理、执行监督、决算审批，财政国库资金拨付，对财政支出绩效评价全面监管。</w:t>
      </w:r>
    </w:p>
    <w:p w14:paraId="2514A29D">
      <w:pPr>
        <w:bidi w:val="0"/>
        <w:rPr>
          <w:rFonts w:hint="eastAsia"/>
          <w:lang w:val="en-US" w:eastAsia="zh-CN"/>
        </w:rPr>
      </w:pPr>
      <w:r>
        <w:rPr>
          <w:rFonts w:hint="eastAsia"/>
          <w:lang w:val="en-US" w:eastAsia="zh-CN"/>
        </w:rPr>
        <w:t>莎车县民政局作为2025年莎车县困难残疾人生活补贴和重度残疾人护理补贴项目预算单位，负责财政支出项目立项报批，项目预算经费申报、预算执行、预算管理；项目组织实施、管理、公示等全过程工作；负责对年度部门预算执行情况的绩效考核、自评。</w:t>
      </w:r>
    </w:p>
    <w:p w14:paraId="48FCE8F1">
      <w:pPr>
        <w:bidi w:val="0"/>
        <w:rPr>
          <w:rFonts w:hint="default"/>
          <w:lang w:val="en-US" w:eastAsia="zh-CN"/>
        </w:rPr>
      </w:pPr>
      <w:r>
        <w:rPr>
          <w:rFonts w:hint="eastAsia"/>
          <w:lang w:val="en-US" w:eastAsia="zh-CN"/>
        </w:rPr>
        <w:t>莎车县民政局内设的各部门是项目具体实施部门，负责执行2025年莎车县困难残疾人生活补贴和重度残疾人护理补贴项目资金年度预算。内设财务科、监督小组负责项目管理监督，专账核算项目经费收支，编制部门预算和决算，真实反映项目执行会计信息，组织项目执行情况绩效评价工作，并负责督促项目实施部门落实绩效评价结果。</w:t>
      </w:r>
    </w:p>
    <w:p w14:paraId="3B2FB7FA">
      <w:pPr>
        <w:bidi w:val="0"/>
        <w:rPr>
          <w:rFonts w:hint="default"/>
          <w:lang w:val="en-US" w:eastAsia="zh-CN"/>
        </w:rPr>
      </w:pPr>
      <w:r>
        <w:rPr>
          <w:rFonts w:hint="eastAsia"/>
          <w:lang w:val="en-US" w:eastAsia="zh-CN"/>
        </w:rPr>
        <w:t>（</w:t>
      </w:r>
      <w:r>
        <w:rPr>
          <w:rFonts w:hint="default"/>
          <w:lang w:val="en-US" w:eastAsia="zh-CN"/>
        </w:rPr>
        <w:t>2</w:t>
      </w:r>
      <w:r>
        <w:rPr>
          <w:rFonts w:hint="eastAsia"/>
          <w:lang w:val="en-US" w:eastAsia="zh-CN"/>
        </w:rPr>
        <w:t>）</w:t>
      </w:r>
      <w:r>
        <w:rPr>
          <w:rFonts w:hint="default"/>
          <w:lang w:val="en-US" w:eastAsia="zh-CN"/>
        </w:rPr>
        <w:t>项目管理情况</w:t>
      </w:r>
    </w:p>
    <w:p w14:paraId="12C9C173">
      <w:pPr>
        <w:bidi w:val="0"/>
        <w:rPr>
          <w:rFonts w:hint="eastAsia"/>
          <w:lang w:val="en-US" w:eastAsia="zh-CN"/>
        </w:rPr>
      </w:pPr>
      <w:r>
        <w:rPr>
          <w:rFonts w:hint="eastAsia"/>
          <w:lang w:val="en-US" w:eastAsia="zh-CN"/>
        </w:rPr>
        <w:t>单位项目组根据项目资金专项文件、项目实施方案等资料，组织编制项目资金绩效目标的年度预算，组织项目申报，保证项目的顺利实施，对项目的实施进行督导。对项目资金使用情况进行单位自评及部门评价等。莎车县民政局制定困难残疾人生活补贴和重度残疾人护理补贴申请办理流程：由个人提出申请，乡镇初审，残联审核，民政局审定后发放。</w:t>
      </w:r>
    </w:p>
    <w:p w14:paraId="182EABCE">
      <w:pPr>
        <w:bidi w:val="0"/>
        <w:rPr>
          <w:rFonts w:hint="eastAsia"/>
          <w:lang w:val="en-US" w:eastAsia="zh-CN"/>
        </w:rPr>
      </w:pPr>
      <w:r>
        <w:rPr>
          <w:rFonts w:hint="eastAsia"/>
          <w:lang w:val="en-US" w:eastAsia="zh-CN"/>
        </w:rPr>
        <w:t>（3）项目管理制度</w:t>
      </w:r>
    </w:p>
    <w:p w14:paraId="732F1EB5">
      <w:pPr>
        <w:bidi w:val="0"/>
        <w:rPr>
          <w:rFonts w:hint="eastAsia"/>
          <w:lang w:val="en-US" w:eastAsia="zh-CN"/>
        </w:rPr>
      </w:pPr>
      <w:r>
        <w:rPr>
          <w:rFonts w:hint="eastAsia"/>
          <w:lang w:val="en-US" w:eastAsia="zh-CN"/>
        </w:rPr>
        <w:t>2025年莎车县困难残疾人生活补贴和重度残疾人护理补贴项目是莎车县民政局组织实施的，评价组根据项目单位提供的管理制度，归纳项目核心管理制度如下：</w:t>
      </w:r>
    </w:p>
    <w:p w14:paraId="0F060383">
      <w:pPr>
        <w:bidi w:val="0"/>
        <w:rPr>
          <w:rFonts w:hint="eastAsia"/>
          <w:lang w:val="en-US" w:eastAsia="zh-CN"/>
        </w:rPr>
      </w:pPr>
      <w:r>
        <w:rPr>
          <w:rFonts w:hint="eastAsia"/>
          <w:lang w:val="en-US" w:eastAsia="zh-CN"/>
        </w:rPr>
        <w:t>①财务管理方面</w:t>
      </w:r>
    </w:p>
    <w:p w14:paraId="1224FBAC">
      <w:pPr>
        <w:bidi w:val="0"/>
        <w:rPr>
          <w:rFonts w:hint="eastAsia"/>
          <w:lang w:val="en-US" w:eastAsia="zh-CN"/>
        </w:rPr>
      </w:pPr>
      <w:r>
        <w:rPr>
          <w:rFonts w:hint="eastAsia"/>
          <w:lang w:val="en-US" w:eastAsia="zh-CN"/>
        </w:rPr>
        <w:t>《莎车县民政局财务管理制度》</w:t>
      </w:r>
    </w:p>
    <w:p w14:paraId="388CC5DC">
      <w:pPr>
        <w:bidi w:val="0"/>
        <w:rPr>
          <w:rFonts w:hint="eastAsia"/>
          <w:lang w:val="en-US" w:eastAsia="zh-CN"/>
        </w:rPr>
      </w:pPr>
      <w:r>
        <w:rPr>
          <w:rFonts w:hint="eastAsia"/>
          <w:lang w:val="en-US" w:eastAsia="zh-CN"/>
        </w:rPr>
        <w:t>《莎车县民政局货币资金管理办法》</w:t>
      </w:r>
    </w:p>
    <w:p w14:paraId="48D64B22">
      <w:pPr>
        <w:bidi w:val="0"/>
        <w:rPr>
          <w:rFonts w:hint="eastAsia"/>
          <w:lang w:val="en-US" w:eastAsia="zh-CN"/>
        </w:rPr>
      </w:pPr>
      <w:r>
        <w:rPr>
          <w:rFonts w:hint="eastAsia"/>
          <w:lang w:val="en-US" w:eastAsia="zh-CN"/>
        </w:rPr>
        <w:t>②业务管理方面</w:t>
      </w:r>
    </w:p>
    <w:p w14:paraId="33C448CC">
      <w:pPr>
        <w:bidi w:val="0"/>
        <w:rPr>
          <w:rFonts w:hint="eastAsia"/>
          <w:lang w:val="en-US" w:eastAsia="zh-CN"/>
        </w:rPr>
      </w:pPr>
      <w:r>
        <w:rPr>
          <w:rFonts w:hint="eastAsia"/>
          <w:lang w:val="en-US" w:eastAsia="zh-CN"/>
        </w:rPr>
        <w:t>《2025年莎车县困难残疾人生活补贴和重度残疾人护理补贴项目实施方案》</w:t>
      </w:r>
    </w:p>
    <w:p w14:paraId="36E5C7D8">
      <w:pPr>
        <w:bidi w:val="0"/>
        <w:rPr>
          <w:rFonts w:hint="eastAsia"/>
          <w:lang w:val="en-US" w:eastAsia="zh-CN"/>
        </w:rPr>
      </w:pPr>
      <w:r>
        <w:rPr>
          <w:rFonts w:hint="eastAsia"/>
          <w:lang w:val="en-US" w:eastAsia="zh-CN"/>
        </w:rPr>
        <w:t>《莎车县民政局预算业务管理制度》</w:t>
      </w:r>
    </w:p>
    <w:p w14:paraId="594B0785">
      <w:pPr>
        <w:pStyle w:val="6"/>
        <w:bidi w:val="0"/>
        <w:rPr>
          <w:rFonts w:hint="eastAsia"/>
          <w:lang w:val="en-US" w:eastAsia="zh-CN"/>
        </w:rPr>
      </w:pPr>
      <w:bookmarkStart w:id="141" w:name="_Toc3232"/>
      <w:bookmarkStart w:id="142" w:name="_Toc30795"/>
      <w:bookmarkStart w:id="143" w:name="_Toc9069"/>
      <w:r>
        <w:rPr>
          <w:rFonts w:hint="eastAsia"/>
          <w:lang w:val="en-US" w:eastAsia="zh-CN"/>
        </w:rPr>
        <w:t>（二）</w:t>
      </w:r>
      <w:bookmarkStart w:id="144" w:name="（二）绩效目标"/>
      <w:bookmarkEnd w:id="144"/>
      <w:r>
        <w:rPr>
          <w:rFonts w:hint="eastAsia"/>
          <w:lang w:val="en-US" w:eastAsia="zh-CN"/>
        </w:rPr>
        <w:t>项目绩效目标</w:t>
      </w:r>
      <w:bookmarkEnd w:id="133"/>
      <w:bookmarkEnd w:id="134"/>
      <w:bookmarkEnd w:id="135"/>
      <w:bookmarkEnd w:id="136"/>
      <w:bookmarkEnd w:id="137"/>
      <w:bookmarkEnd w:id="138"/>
      <w:bookmarkEnd w:id="139"/>
      <w:bookmarkEnd w:id="140"/>
      <w:bookmarkEnd w:id="141"/>
      <w:bookmarkEnd w:id="142"/>
      <w:bookmarkEnd w:id="143"/>
    </w:p>
    <w:p w14:paraId="189C8B61">
      <w:pPr>
        <w:bidi w:val="0"/>
        <w:rPr>
          <w:rFonts w:hint="eastAsia"/>
          <w:lang w:val="en-US" w:eastAsia="zh-CN"/>
        </w:rPr>
      </w:pPr>
      <w:bookmarkStart w:id="145" w:name="_Toc26040"/>
      <w:bookmarkStart w:id="146" w:name="_Toc9707"/>
      <w:bookmarkStart w:id="147" w:name="_Toc22409"/>
      <w:bookmarkStart w:id="148" w:name="_Toc12994"/>
      <w:r>
        <w:rPr>
          <w:rFonts w:hint="eastAsia"/>
          <w:lang w:val="en-US" w:eastAsia="zh-CN"/>
        </w:rPr>
        <w:t>项目绩效目标包括项目绩效总目标和阶段性目标。</w:t>
      </w:r>
    </w:p>
    <w:p w14:paraId="0EC5943A">
      <w:pPr>
        <w:pStyle w:val="7"/>
        <w:bidi w:val="0"/>
        <w:rPr>
          <w:rFonts w:hint="eastAsia"/>
          <w:lang w:val="en-US" w:eastAsia="zh-CN"/>
        </w:rPr>
      </w:pPr>
      <w:bookmarkStart w:id="149" w:name="_Toc7553"/>
      <w:bookmarkStart w:id="150" w:name="_Toc31260"/>
      <w:bookmarkStart w:id="151" w:name="_Toc30740"/>
      <w:r>
        <w:rPr>
          <w:rFonts w:hint="eastAsia"/>
          <w:lang w:val="en-US" w:eastAsia="zh-CN"/>
        </w:rPr>
        <w:t>1.项目绩效总目标</w:t>
      </w:r>
      <w:bookmarkEnd w:id="149"/>
      <w:bookmarkEnd w:id="150"/>
      <w:bookmarkEnd w:id="151"/>
    </w:p>
    <w:bookmarkEnd w:id="145"/>
    <w:bookmarkEnd w:id="146"/>
    <w:bookmarkEnd w:id="147"/>
    <w:bookmarkEnd w:id="148"/>
    <w:p w14:paraId="3DE40BCD">
      <w:pPr>
        <w:bidi w:val="0"/>
        <w:rPr>
          <w:rFonts w:hint="eastAsia"/>
          <w:lang w:val="en-US" w:eastAsia="zh-CN"/>
        </w:rPr>
      </w:pPr>
      <w:bookmarkStart w:id="152" w:name="_Toc18540"/>
      <w:bookmarkStart w:id="153" w:name="_Toc9714"/>
      <w:bookmarkStart w:id="154" w:name="_Toc18498"/>
      <w:r>
        <w:rPr>
          <w:rFonts w:hint="eastAsia"/>
          <w:lang w:val="en-US" w:eastAsia="zh-CN"/>
        </w:rPr>
        <w:t>落实困难残疾人生活补贴、重度残疾人护理补贴制度，精准足额发放补贴，兜牢残疾人民生底线，解决困难残疾人特殊生活困难与重度残疾人长期照护困难，提高残疾人生活质量与照护水平，提升残疾人获得感、幸福感、安全感、健全残疾人社会保障体系，促进社会公平正义。</w:t>
      </w:r>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其中，对全县11825名困难残疾人发放生活补贴，生活补贴标准为120元/人/月；对全县8771名重度残疾人发放护理补贴，护理补贴标准为120元/人/月。确保困难残疾人生活补助和重度残疾人护理补贴资金及时发放，提升残疾人的生活质量。</w:t>
      </w:r>
      <w:bookmarkEnd w:id="152"/>
      <w:bookmarkEnd w:id="153"/>
      <w:bookmarkEnd w:id="154"/>
    </w:p>
    <w:p w14:paraId="34DF797B">
      <w:pPr>
        <w:pStyle w:val="7"/>
        <w:bidi w:val="0"/>
        <w:rPr>
          <w:rFonts w:hint="eastAsia"/>
          <w:lang w:val="en-US" w:eastAsia="zh-CN"/>
        </w:rPr>
      </w:pPr>
      <w:bookmarkStart w:id="155" w:name="_Toc32715"/>
      <w:bookmarkStart w:id="156" w:name="_Toc31841"/>
      <w:bookmarkStart w:id="157" w:name="_Toc3853"/>
      <w:r>
        <w:rPr>
          <w:rFonts w:hint="eastAsia"/>
          <w:lang w:val="en-US" w:eastAsia="zh-CN"/>
        </w:rPr>
        <w:t>2.阶段性目标</w:t>
      </w:r>
      <w:bookmarkEnd w:id="155"/>
      <w:bookmarkEnd w:id="156"/>
      <w:bookmarkEnd w:id="157"/>
    </w:p>
    <w:p w14:paraId="78F24C4A">
      <w:pPr>
        <w:bidi w:val="0"/>
        <w:rPr>
          <w:rFonts w:hint="eastAsia"/>
          <w:lang w:val="en-US" w:eastAsia="zh-CN"/>
        </w:rPr>
      </w:pPr>
      <w:r>
        <w:rPr>
          <w:rFonts w:hint="eastAsia"/>
          <w:lang w:eastAsia="zh-CN"/>
        </w:rPr>
        <w:t>项目预算资金</w:t>
      </w:r>
      <w:r>
        <w:rPr>
          <w:rFonts w:hint="eastAsia"/>
          <w:lang w:val="en-US" w:eastAsia="zh-CN"/>
        </w:rPr>
        <w:t>2941万元，用于对持有《中华人民共和国残疾人证》的城乡低保家庭中的残疾人以及具有新疆户籍，残疾等级被评定为一级、二级的重度残疾人发放补助，其中，对全县11825名困难残疾人发放生活补贴，生活补贴标准为120元/人/月；对全县8771名重度残疾人发放护理补贴，护理补贴标准为120元/人/月。确保困难残疾人生活补助和重度残疾人护理补贴资金及时发放，提升残疾人的生活质量。</w:t>
      </w:r>
    </w:p>
    <w:p w14:paraId="57F792C0">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项目产出目标</w:t>
      </w:r>
    </w:p>
    <w:p w14:paraId="4748245D">
      <w:pPr>
        <w:bidi w:val="0"/>
        <w:rPr>
          <w:rFonts w:hint="default"/>
          <w:lang w:val="en-US" w:eastAsia="zh-CN"/>
        </w:rPr>
      </w:pPr>
      <w:r>
        <w:rPr>
          <w:rFonts w:hint="default"/>
          <w:lang w:val="en-US" w:eastAsia="zh-CN"/>
        </w:rPr>
        <w:t>产出数量</w:t>
      </w:r>
    </w:p>
    <w:p w14:paraId="53C3A551">
      <w:pPr>
        <w:bidi w:val="0"/>
        <w:rPr>
          <w:rFonts w:hint="default"/>
          <w:lang w:val="en-US" w:eastAsia="zh-CN"/>
        </w:rPr>
      </w:pPr>
      <w:r>
        <w:rPr>
          <w:rFonts w:hint="default"/>
          <w:lang w:val="en-US" w:eastAsia="zh-CN"/>
        </w:rPr>
        <w:t>“</w:t>
      </w:r>
      <w:r>
        <w:rPr>
          <w:rFonts w:hint="eastAsia"/>
          <w:lang w:val="en-US" w:eastAsia="zh-CN"/>
        </w:rPr>
        <w:t>发放困难残疾人生活补贴人数</w:t>
      </w:r>
      <w:r>
        <w:rPr>
          <w:rFonts w:hint="default"/>
          <w:lang w:val="en-US" w:eastAsia="zh-CN"/>
        </w:rPr>
        <w:t>”指标，预期指标值为</w:t>
      </w:r>
      <w:r>
        <w:rPr>
          <w:rFonts w:hint="eastAsia"/>
          <w:lang w:val="en-US" w:eastAsia="zh-CN"/>
        </w:rPr>
        <w:t>大于等于11825人</w:t>
      </w:r>
      <w:r>
        <w:rPr>
          <w:rFonts w:hint="default"/>
          <w:lang w:val="en-US" w:eastAsia="zh-CN"/>
        </w:rPr>
        <w:t>。</w:t>
      </w:r>
    </w:p>
    <w:p w14:paraId="28986E6B">
      <w:pPr>
        <w:bidi w:val="0"/>
        <w:rPr>
          <w:rFonts w:hint="default"/>
          <w:lang w:val="en-US" w:eastAsia="zh-CN"/>
        </w:rPr>
      </w:pPr>
      <w:r>
        <w:rPr>
          <w:rFonts w:hint="default"/>
          <w:lang w:val="en-US" w:eastAsia="zh-CN"/>
        </w:rPr>
        <w:t>“</w:t>
      </w:r>
      <w:r>
        <w:rPr>
          <w:rFonts w:hint="eastAsia"/>
          <w:lang w:val="en-US" w:eastAsia="zh-CN"/>
        </w:rPr>
        <w:t>发放重度残疾人护理补贴人数</w:t>
      </w:r>
      <w:r>
        <w:rPr>
          <w:rFonts w:hint="default"/>
          <w:lang w:val="en-US" w:eastAsia="zh-CN"/>
        </w:rPr>
        <w:t>”指标，预期指标值为</w:t>
      </w:r>
      <w:r>
        <w:rPr>
          <w:rFonts w:hint="eastAsia"/>
          <w:lang w:val="en-US" w:eastAsia="zh-CN"/>
        </w:rPr>
        <w:t>大于等于8771人</w:t>
      </w:r>
      <w:r>
        <w:rPr>
          <w:rFonts w:hint="default"/>
          <w:lang w:val="en-US" w:eastAsia="zh-CN"/>
        </w:rPr>
        <w:t>。</w:t>
      </w:r>
    </w:p>
    <w:p w14:paraId="7C940B8E">
      <w:pPr>
        <w:bidi w:val="0"/>
        <w:rPr>
          <w:rFonts w:hint="default"/>
          <w:lang w:val="en-US" w:eastAsia="zh-CN"/>
        </w:rPr>
      </w:pPr>
      <w:r>
        <w:rPr>
          <w:rFonts w:hint="default"/>
          <w:lang w:val="en-US" w:eastAsia="zh-CN"/>
        </w:rPr>
        <w:t>产出质量</w:t>
      </w:r>
    </w:p>
    <w:p w14:paraId="36505E4D">
      <w:pPr>
        <w:bidi w:val="0"/>
        <w:rPr>
          <w:rFonts w:hint="default"/>
          <w:lang w:val="en-US" w:eastAsia="zh-CN"/>
        </w:rPr>
      </w:pPr>
      <w:r>
        <w:rPr>
          <w:rFonts w:hint="default"/>
          <w:lang w:val="en-US" w:eastAsia="zh-CN"/>
        </w:rPr>
        <w:t>“</w:t>
      </w:r>
      <w:r>
        <w:rPr>
          <w:rFonts w:hint="eastAsia"/>
          <w:lang w:val="en-US" w:eastAsia="zh-CN"/>
        </w:rPr>
        <w:t>补助人员身份审核合格率</w:t>
      </w:r>
      <w:r>
        <w:rPr>
          <w:rFonts w:hint="default"/>
          <w:lang w:val="en-US" w:eastAsia="zh-CN"/>
        </w:rPr>
        <w:t>”指标，预期指标值为</w:t>
      </w:r>
      <w:r>
        <w:rPr>
          <w:rFonts w:hint="eastAsia"/>
          <w:lang w:val="en-US" w:eastAsia="zh-CN"/>
        </w:rPr>
        <w:t>等于100%</w:t>
      </w:r>
      <w:r>
        <w:rPr>
          <w:rFonts w:hint="default"/>
          <w:lang w:val="en-US" w:eastAsia="zh-CN"/>
        </w:rPr>
        <w:t>。</w:t>
      </w:r>
    </w:p>
    <w:p w14:paraId="607406E9">
      <w:pPr>
        <w:bidi w:val="0"/>
        <w:rPr>
          <w:rFonts w:hint="default"/>
          <w:lang w:val="en-US" w:eastAsia="zh-CN"/>
        </w:rPr>
      </w:pPr>
      <w:r>
        <w:rPr>
          <w:rFonts w:hint="default"/>
          <w:lang w:val="en-US" w:eastAsia="zh-CN"/>
        </w:rPr>
        <w:t>产出时效</w:t>
      </w:r>
    </w:p>
    <w:p w14:paraId="1F148119">
      <w:pPr>
        <w:bidi w:val="0"/>
        <w:rPr>
          <w:rFonts w:hint="default"/>
          <w:lang w:val="en-US" w:eastAsia="zh-CN"/>
        </w:rPr>
      </w:pPr>
      <w:r>
        <w:rPr>
          <w:rFonts w:hint="default"/>
          <w:lang w:val="en-US" w:eastAsia="zh-CN"/>
        </w:rPr>
        <w:t>“</w:t>
      </w:r>
      <w:r>
        <w:rPr>
          <w:rFonts w:hint="eastAsia"/>
          <w:lang w:val="en-US" w:eastAsia="zh-CN"/>
        </w:rPr>
        <w:t>补助月数</w:t>
      </w:r>
      <w:r>
        <w:rPr>
          <w:rFonts w:hint="default"/>
          <w:lang w:val="en-US" w:eastAsia="zh-CN"/>
        </w:rPr>
        <w:t>”指标，预期指标值为</w:t>
      </w:r>
      <w:r>
        <w:rPr>
          <w:rFonts w:hint="eastAsia"/>
          <w:lang w:val="en-US" w:eastAsia="zh-CN"/>
        </w:rPr>
        <w:t>等于12个月</w:t>
      </w:r>
      <w:r>
        <w:rPr>
          <w:rFonts w:hint="default"/>
          <w:lang w:val="en-US" w:eastAsia="zh-CN"/>
        </w:rPr>
        <w:t>。</w:t>
      </w:r>
    </w:p>
    <w:p w14:paraId="65246B32">
      <w:pPr>
        <w:bidi w:val="0"/>
        <w:rPr>
          <w:rFonts w:hint="default"/>
          <w:lang w:val="en-US" w:eastAsia="zh-CN"/>
        </w:rPr>
      </w:pPr>
      <w:r>
        <w:rPr>
          <w:rFonts w:hint="default"/>
          <w:lang w:val="en-US" w:eastAsia="zh-CN"/>
        </w:rPr>
        <w:t>“</w:t>
      </w:r>
      <w:r>
        <w:rPr>
          <w:rFonts w:hint="eastAsia"/>
          <w:lang w:val="en-US" w:eastAsia="zh-CN"/>
        </w:rPr>
        <w:t>补助发放时间</w:t>
      </w:r>
      <w:r>
        <w:rPr>
          <w:rFonts w:hint="default"/>
          <w:lang w:val="en-US" w:eastAsia="zh-CN"/>
        </w:rPr>
        <w:t>”指标，预期指标值为</w:t>
      </w:r>
      <w:r>
        <w:rPr>
          <w:rFonts w:hint="eastAsia"/>
          <w:lang w:val="en-US" w:eastAsia="zh-CN"/>
        </w:rPr>
        <w:t>每月15日之前</w:t>
      </w:r>
      <w:r>
        <w:rPr>
          <w:rFonts w:hint="default"/>
          <w:lang w:val="en-US" w:eastAsia="zh-CN"/>
        </w:rPr>
        <w:t>。</w:t>
      </w:r>
    </w:p>
    <w:p w14:paraId="5810A239">
      <w:pPr>
        <w:bidi w:val="0"/>
        <w:rPr>
          <w:rFonts w:hint="default"/>
          <w:lang w:val="en-US" w:eastAsia="zh-CN"/>
        </w:rPr>
      </w:pPr>
      <w:r>
        <w:rPr>
          <w:rFonts w:hint="eastAsia"/>
          <w:lang w:val="en-US" w:eastAsia="zh-CN"/>
        </w:rPr>
        <w:t>（2）</w:t>
      </w:r>
      <w:r>
        <w:rPr>
          <w:rFonts w:hint="default"/>
          <w:lang w:val="en-US" w:eastAsia="zh-CN"/>
        </w:rPr>
        <w:t>成本</w:t>
      </w:r>
      <w:r>
        <w:rPr>
          <w:rFonts w:hint="eastAsia"/>
          <w:lang w:val="en-US" w:eastAsia="zh-CN"/>
        </w:rPr>
        <w:t>目标</w:t>
      </w:r>
    </w:p>
    <w:p w14:paraId="7EB49789">
      <w:pPr>
        <w:bidi w:val="0"/>
        <w:rPr>
          <w:rFonts w:hint="default"/>
          <w:lang w:val="en-US" w:eastAsia="zh-CN"/>
        </w:rPr>
      </w:pPr>
      <w:r>
        <w:rPr>
          <w:rFonts w:hint="default"/>
          <w:lang w:val="en-US" w:eastAsia="zh-CN"/>
        </w:rPr>
        <w:t>“</w:t>
      </w:r>
      <w:r>
        <w:rPr>
          <w:rFonts w:hint="eastAsia"/>
          <w:lang w:val="en-US" w:eastAsia="zh-CN"/>
        </w:rPr>
        <w:t>困难残疾人生活补贴标准</w:t>
      </w:r>
      <w:r>
        <w:rPr>
          <w:rFonts w:hint="default"/>
          <w:lang w:val="en-US" w:eastAsia="zh-CN"/>
        </w:rPr>
        <w:t>”指标，预期指标值为</w:t>
      </w:r>
      <w:r>
        <w:rPr>
          <w:rFonts w:hint="eastAsia"/>
          <w:lang w:val="en-US" w:eastAsia="zh-CN"/>
        </w:rPr>
        <w:t>等于120元/人/月</w:t>
      </w:r>
      <w:r>
        <w:rPr>
          <w:rFonts w:hint="default"/>
          <w:lang w:val="en-US" w:eastAsia="zh-CN"/>
        </w:rPr>
        <w:t>。</w:t>
      </w:r>
    </w:p>
    <w:p w14:paraId="37D77467">
      <w:pPr>
        <w:bidi w:val="0"/>
        <w:rPr>
          <w:rFonts w:hint="default"/>
          <w:lang w:val="en-US" w:eastAsia="zh-CN"/>
        </w:rPr>
      </w:pPr>
      <w:r>
        <w:rPr>
          <w:rFonts w:hint="default"/>
          <w:lang w:val="en-US" w:eastAsia="zh-CN"/>
        </w:rPr>
        <w:t>“</w:t>
      </w:r>
      <w:r>
        <w:rPr>
          <w:rFonts w:hint="eastAsia"/>
          <w:lang w:val="en-US" w:eastAsia="zh-CN"/>
        </w:rPr>
        <w:t>重度残疾人护理补贴标准</w:t>
      </w:r>
      <w:r>
        <w:rPr>
          <w:rFonts w:hint="default"/>
          <w:lang w:val="en-US" w:eastAsia="zh-CN"/>
        </w:rPr>
        <w:t>”指标，预期指标值为</w:t>
      </w:r>
      <w:r>
        <w:rPr>
          <w:rFonts w:hint="eastAsia"/>
          <w:lang w:val="en-US" w:eastAsia="zh-CN"/>
        </w:rPr>
        <w:t>等于120元/人/月</w:t>
      </w:r>
      <w:r>
        <w:rPr>
          <w:rFonts w:hint="default"/>
          <w:lang w:val="en-US" w:eastAsia="zh-CN"/>
        </w:rPr>
        <w:t>。</w:t>
      </w:r>
    </w:p>
    <w:p w14:paraId="0265C19C">
      <w:pPr>
        <w:bidi w:val="0"/>
        <w:rPr>
          <w:rFonts w:hint="default"/>
          <w:lang w:val="en-US" w:eastAsia="zh-CN"/>
        </w:rPr>
      </w:pPr>
      <w:r>
        <w:rPr>
          <w:rFonts w:hint="eastAsia"/>
          <w:lang w:val="en-US" w:eastAsia="zh-CN"/>
        </w:rPr>
        <w:t>（3）</w:t>
      </w:r>
      <w:r>
        <w:rPr>
          <w:rFonts w:hint="default"/>
          <w:lang w:val="en-US" w:eastAsia="zh-CN"/>
        </w:rPr>
        <w:t>效益目标</w:t>
      </w:r>
    </w:p>
    <w:p w14:paraId="405281AD">
      <w:pPr>
        <w:bidi w:val="0"/>
        <w:rPr>
          <w:rFonts w:hint="default"/>
          <w:lang w:val="en-US" w:eastAsia="zh-CN"/>
        </w:rPr>
      </w:pPr>
      <w:r>
        <w:rPr>
          <w:rFonts w:hint="default"/>
          <w:lang w:val="en-US" w:eastAsia="zh-CN"/>
        </w:rPr>
        <w:t>社会效益指标</w:t>
      </w:r>
    </w:p>
    <w:p w14:paraId="614D2B66">
      <w:pPr>
        <w:bidi w:val="0"/>
        <w:rPr>
          <w:rFonts w:hint="default"/>
          <w:lang w:val="en-US" w:eastAsia="zh-CN"/>
        </w:rPr>
      </w:pPr>
      <w:r>
        <w:rPr>
          <w:rFonts w:hint="default"/>
          <w:lang w:val="en-US" w:eastAsia="zh-CN"/>
        </w:rPr>
        <w:t>“</w:t>
      </w:r>
      <w:r>
        <w:rPr>
          <w:rFonts w:hint="eastAsia"/>
          <w:lang w:val="en-US" w:eastAsia="zh-CN"/>
        </w:rPr>
        <w:t>提升残疾人生活质量</w:t>
      </w:r>
      <w:r>
        <w:rPr>
          <w:rFonts w:hint="default"/>
          <w:lang w:val="en-US" w:eastAsia="zh-CN"/>
        </w:rPr>
        <w:t>”指标，预期指标值为</w:t>
      </w:r>
      <w:r>
        <w:rPr>
          <w:rFonts w:hint="eastAsia"/>
          <w:lang w:val="en-US" w:eastAsia="zh-CN"/>
        </w:rPr>
        <w:t>有效提升</w:t>
      </w:r>
      <w:r>
        <w:rPr>
          <w:rFonts w:hint="default"/>
          <w:lang w:val="en-US" w:eastAsia="zh-CN"/>
        </w:rPr>
        <w:t>。</w:t>
      </w:r>
    </w:p>
    <w:p w14:paraId="7D5518DC">
      <w:pPr>
        <w:bidi w:val="0"/>
        <w:rPr>
          <w:rFonts w:hint="default"/>
          <w:lang w:val="en-US" w:eastAsia="zh-CN"/>
        </w:rPr>
      </w:pPr>
      <w:r>
        <w:rPr>
          <w:rFonts w:hint="eastAsia"/>
          <w:lang w:val="en-US" w:eastAsia="zh-CN"/>
        </w:rPr>
        <w:t>（4）满意度目标</w:t>
      </w:r>
    </w:p>
    <w:p w14:paraId="5B06987C">
      <w:pPr>
        <w:bidi w:val="0"/>
        <w:rPr>
          <w:rFonts w:hint="default"/>
          <w:lang w:val="en-US" w:eastAsia="zh-CN"/>
        </w:rPr>
      </w:pPr>
      <w:r>
        <w:rPr>
          <w:rFonts w:hint="default"/>
          <w:lang w:val="en-US" w:eastAsia="zh-CN"/>
        </w:rPr>
        <w:t>服务对象满意度指标</w:t>
      </w:r>
    </w:p>
    <w:p w14:paraId="198B4E44">
      <w:pPr>
        <w:bidi w:val="0"/>
        <w:rPr>
          <w:rFonts w:hint="default"/>
          <w:lang w:val="en-US" w:eastAsia="zh-CN"/>
        </w:rPr>
      </w:pPr>
      <w:r>
        <w:rPr>
          <w:rFonts w:hint="default"/>
          <w:lang w:val="en-US" w:eastAsia="zh-CN"/>
        </w:rPr>
        <w:t>“</w:t>
      </w:r>
      <w:r>
        <w:rPr>
          <w:rFonts w:hint="eastAsia"/>
          <w:lang w:val="en-US" w:eastAsia="zh-CN"/>
        </w:rPr>
        <w:t>受助对象满意度</w:t>
      </w:r>
      <w:r>
        <w:rPr>
          <w:rFonts w:hint="default"/>
          <w:lang w:val="en-US" w:eastAsia="zh-CN"/>
        </w:rPr>
        <w:t>”指标，预期指标值为</w:t>
      </w:r>
      <w:r>
        <w:rPr>
          <w:rFonts w:hint="eastAsia"/>
          <w:lang w:val="en-US" w:eastAsia="zh-CN"/>
        </w:rPr>
        <w:t>大于等于95%</w:t>
      </w:r>
      <w:r>
        <w:rPr>
          <w:rFonts w:hint="default"/>
          <w:lang w:val="en-US" w:eastAsia="zh-CN"/>
        </w:rPr>
        <w:t>。</w:t>
      </w:r>
    </w:p>
    <w:p w14:paraId="5D328E53">
      <w:pPr>
        <w:pStyle w:val="5"/>
        <w:bidi w:val="0"/>
        <w:rPr>
          <w:rFonts w:hint="eastAsia"/>
          <w:lang w:val="en-US" w:eastAsia="zh-CN"/>
        </w:rPr>
      </w:pPr>
      <w:bookmarkStart w:id="158" w:name="_Toc24644"/>
      <w:bookmarkStart w:id="159" w:name="_Toc15932"/>
      <w:bookmarkStart w:id="160" w:name="_Toc2612"/>
      <w:bookmarkStart w:id="161" w:name="_Toc24088"/>
      <w:bookmarkStart w:id="162" w:name="_Toc13302"/>
      <w:bookmarkStart w:id="163" w:name="_Toc19627"/>
      <w:bookmarkStart w:id="164" w:name="_Toc14745"/>
      <w:bookmarkStart w:id="165" w:name="_Toc7910"/>
      <w:bookmarkStart w:id="166" w:name="_Toc27342"/>
      <w:bookmarkStart w:id="167" w:name="_Toc10694"/>
      <w:bookmarkStart w:id="168" w:name="_Toc2857"/>
      <w:bookmarkStart w:id="169" w:name="_Toc6820"/>
      <w:r>
        <w:rPr>
          <w:rFonts w:hint="eastAsia"/>
          <w:lang w:val="en-US" w:eastAsia="zh-CN"/>
        </w:rPr>
        <w:t>二、绩效评价工作开展情况</w:t>
      </w:r>
      <w:bookmarkEnd w:id="158"/>
      <w:bookmarkEnd w:id="159"/>
      <w:bookmarkEnd w:id="160"/>
      <w:bookmarkEnd w:id="161"/>
      <w:bookmarkEnd w:id="162"/>
      <w:bookmarkEnd w:id="163"/>
      <w:bookmarkEnd w:id="164"/>
      <w:bookmarkEnd w:id="165"/>
      <w:bookmarkEnd w:id="166"/>
      <w:bookmarkEnd w:id="167"/>
      <w:bookmarkEnd w:id="168"/>
      <w:bookmarkEnd w:id="169"/>
      <w:bookmarkStart w:id="170" w:name="_TOC_250000"/>
      <w:bookmarkEnd w:id="170"/>
    </w:p>
    <w:p w14:paraId="12FCBC93">
      <w:pPr>
        <w:pStyle w:val="6"/>
        <w:bidi w:val="0"/>
        <w:rPr>
          <w:rFonts w:hint="eastAsia"/>
          <w:lang w:val="en-US" w:eastAsia="zh-CN"/>
        </w:rPr>
      </w:pPr>
      <w:bookmarkStart w:id="171" w:name="_Toc9532"/>
      <w:bookmarkStart w:id="172" w:name="_Toc6880"/>
      <w:bookmarkStart w:id="173" w:name="_Toc6314"/>
      <w:bookmarkStart w:id="174" w:name="_Toc14263"/>
      <w:bookmarkStart w:id="175" w:name="_Toc20400"/>
      <w:bookmarkStart w:id="176" w:name="_Toc596"/>
      <w:bookmarkStart w:id="177" w:name="_Toc5198"/>
      <w:bookmarkStart w:id="178" w:name="_Toc19016"/>
      <w:bookmarkStart w:id="179" w:name="_Toc7341"/>
      <w:bookmarkStart w:id="180" w:name="_Toc19540"/>
      <w:bookmarkStart w:id="181" w:name="_Toc192"/>
      <w:r>
        <w:rPr>
          <w:rFonts w:hint="eastAsia"/>
          <w:lang w:val="en-US" w:eastAsia="zh-CN"/>
        </w:rPr>
        <w:t>（一）绩效评价目的、对象和范围</w:t>
      </w:r>
      <w:bookmarkEnd w:id="171"/>
      <w:bookmarkEnd w:id="172"/>
      <w:bookmarkEnd w:id="173"/>
      <w:bookmarkEnd w:id="174"/>
      <w:bookmarkEnd w:id="175"/>
      <w:bookmarkEnd w:id="176"/>
      <w:bookmarkEnd w:id="177"/>
      <w:bookmarkEnd w:id="178"/>
      <w:bookmarkEnd w:id="179"/>
      <w:bookmarkEnd w:id="180"/>
      <w:bookmarkEnd w:id="181"/>
      <w:bookmarkStart w:id="182" w:name="_Toc21271"/>
      <w:bookmarkStart w:id="183" w:name="_Toc23500"/>
      <w:bookmarkStart w:id="184" w:name="_Toc16025"/>
      <w:bookmarkStart w:id="185" w:name="_Toc15860"/>
    </w:p>
    <w:p w14:paraId="2B6E0254">
      <w:pPr>
        <w:pStyle w:val="7"/>
        <w:bidi w:val="0"/>
        <w:rPr>
          <w:rFonts w:hint="eastAsia"/>
          <w:lang w:val="en-US" w:eastAsia="zh-CN"/>
        </w:rPr>
      </w:pPr>
      <w:r>
        <w:rPr>
          <w:rFonts w:hint="eastAsia"/>
          <w:lang w:val="en-US" w:eastAsia="zh-CN"/>
        </w:rPr>
        <w:t>1.绩效评价目的</w:t>
      </w:r>
      <w:bookmarkEnd w:id="182"/>
      <w:bookmarkEnd w:id="183"/>
      <w:bookmarkEnd w:id="184"/>
      <w:bookmarkEnd w:id="185"/>
    </w:p>
    <w:p w14:paraId="541955A7">
      <w:pPr>
        <w:bidi w:val="0"/>
        <w:rPr>
          <w:rFonts w:hint="eastAsia"/>
          <w:lang w:val="en-US" w:eastAsia="zh-CN"/>
        </w:rPr>
      </w:pPr>
      <w:bookmarkStart w:id="186" w:name="_Toc11043"/>
      <w:bookmarkStart w:id="187" w:name="_Toc2487"/>
      <w:bookmarkStart w:id="188" w:name="_Toc5161"/>
      <w:bookmarkStart w:id="189" w:name="_Toc4347"/>
      <w:r>
        <w:rPr>
          <w:rFonts w:hint="eastAsia"/>
          <w:lang w:val="en-US" w:eastAsia="zh-CN"/>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w:t>
      </w:r>
      <w:bookmarkEnd w:id="186"/>
      <w:bookmarkEnd w:id="187"/>
      <w:bookmarkEnd w:id="188"/>
    </w:p>
    <w:p w14:paraId="7E546E96">
      <w:pPr>
        <w:bidi w:val="0"/>
        <w:rPr>
          <w:rFonts w:hint="eastAsia"/>
          <w:lang w:val="en-US" w:eastAsia="zh-CN"/>
        </w:rPr>
      </w:pPr>
      <w:bookmarkStart w:id="190" w:name="_Toc30505"/>
      <w:bookmarkStart w:id="191" w:name="_Toc27812"/>
      <w:bookmarkStart w:id="192" w:name="_Toc23251"/>
      <w:r>
        <w:rPr>
          <w:rFonts w:hint="eastAsia"/>
          <w:lang w:val="en-US" w:eastAsia="zh-CN"/>
        </w:rPr>
        <w:t>绩效评价的目的是发现预算资金在项目立项、执行管理中制度保障、实际操作方面的缺陷和薄弱环节，同时总结提炼项目和部门的经验做法，为预算部门改进、完善项目管理和预算管理提供可行性参考建议。也为下一年预算编制与评审提供充分有效的依据，以达到改进预算管理、优化资源配置、提高预算资金使用效益的目的。</w:t>
      </w:r>
      <w:bookmarkEnd w:id="190"/>
      <w:bookmarkEnd w:id="191"/>
      <w:bookmarkEnd w:id="192"/>
    </w:p>
    <w:p w14:paraId="1A2F379C">
      <w:pPr>
        <w:pStyle w:val="7"/>
        <w:bidi w:val="0"/>
        <w:rPr>
          <w:rFonts w:hint="eastAsia"/>
          <w:lang w:val="en-US" w:eastAsia="zh-CN"/>
        </w:rPr>
      </w:pPr>
      <w:bookmarkStart w:id="193" w:name="_Toc21643"/>
      <w:bookmarkStart w:id="194" w:name="_Toc26057"/>
      <w:bookmarkStart w:id="195" w:name="_Toc17841"/>
      <w:r>
        <w:rPr>
          <w:rFonts w:hint="eastAsia"/>
          <w:lang w:val="en-US" w:eastAsia="zh-CN"/>
        </w:rPr>
        <w:t>2.绩效评价对象</w:t>
      </w:r>
      <w:bookmarkEnd w:id="189"/>
      <w:bookmarkEnd w:id="193"/>
      <w:bookmarkEnd w:id="194"/>
      <w:bookmarkEnd w:id="195"/>
    </w:p>
    <w:p w14:paraId="556BEF09">
      <w:pPr>
        <w:bidi w:val="0"/>
        <w:rPr>
          <w:rFonts w:hint="eastAsia"/>
        </w:rPr>
      </w:pPr>
      <w:r>
        <w:rPr>
          <w:rFonts w:hint="eastAsia"/>
          <w:lang w:val="en-US" w:eastAsia="zh-CN"/>
        </w:rPr>
        <w:t>本次绩效评价遵循财政部《项目支出绩效评价管理办法》（财预〔2020〕10号）和自治区财政厅《自治区财政支出绩效评价管理暂行办法》（新财预〔2018〕189号）等相关政策文件与规定，</w:t>
      </w:r>
      <w:r>
        <w:rPr>
          <w:rFonts w:hint="eastAsia"/>
          <w:lang w:eastAsia="zh-CN"/>
        </w:rPr>
        <w:t>对</w:t>
      </w:r>
      <w:r>
        <w:rPr>
          <w:rFonts w:hint="eastAsia"/>
          <w:lang w:val="en-US" w:eastAsia="zh-CN"/>
        </w:rPr>
        <w:t>2025年莎车县困难残疾人生活补贴和重度残疾人护理补贴项目开展</w:t>
      </w:r>
      <w:r>
        <w:rPr>
          <w:rFonts w:hint="eastAsia"/>
          <w:lang w:eastAsia="zh-CN"/>
        </w:rPr>
        <w:t>评价，主要评价该项目的投入、产出及效益</w:t>
      </w:r>
      <w:r>
        <w:rPr>
          <w:rFonts w:hint="eastAsia"/>
        </w:rPr>
        <w:t>。</w:t>
      </w:r>
    </w:p>
    <w:p w14:paraId="4F19A09F">
      <w:pPr>
        <w:pStyle w:val="7"/>
        <w:bidi w:val="0"/>
        <w:rPr>
          <w:rFonts w:hint="eastAsia"/>
          <w:lang w:val="en-US" w:eastAsia="zh-CN"/>
        </w:rPr>
      </w:pPr>
      <w:bookmarkStart w:id="196" w:name="_Toc29763"/>
      <w:bookmarkStart w:id="197" w:name="_Toc7546"/>
      <w:bookmarkStart w:id="198" w:name="_Toc21227"/>
      <w:bookmarkStart w:id="199" w:name="_Toc28781"/>
      <w:r>
        <w:rPr>
          <w:rFonts w:hint="eastAsia"/>
          <w:lang w:val="en-US" w:eastAsia="zh-CN"/>
        </w:rPr>
        <w:t>3.绩效评价范围</w:t>
      </w:r>
      <w:bookmarkEnd w:id="196"/>
      <w:bookmarkEnd w:id="197"/>
      <w:bookmarkEnd w:id="198"/>
      <w:bookmarkEnd w:id="199"/>
    </w:p>
    <w:p w14:paraId="1DEC0CB5">
      <w:pPr>
        <w:bidi w:val="0"/>
        <w:rPr>
          <w:rFonts w:hint="eastAsia"/>
        </w:rPr>
      </w:pPr>
      <w:bookmarkStart w:id="200" w:name="_Toc7990"/>
      <w:bookmarkStart w:id="201" w:name="_Toc32655"/>
      <w:bookmarkStart w:id="202" w:name="_Toc10152"/>
      <w:bookmarkStart w:id="203" w:name="_Toc29699"/>
      <w:bookmarkStart w:id="204" w:name="_Toc2961"/>
      <w:r>
        <w:rPr>
          <w:rFonts w:hint="eastAsia"/>
          <w:lang w:val="en-US" w:eastAsia="zh-CN"/>
        </w:rPr>
        <w:t>本次绩效评价范围主要围绕项目决策情况、项目管理、产出情况、效益情况、资金管理和使用情况、相关管理制度办法的健全性及执行情况，以及其他相关内容。</w:t>
      </w:r>
    </w:p>
    <w:bookmarkEnd w:id="200"/>
    <w:bookmarkEnd w:id="201"/>
    <w:bookmarkEnd w:id="202"/>
    <w:bookmarkEnd w:id="203"/>
    <w:bookmarkEnd w:id="204"/>
    <w:p w14:paraId="6EE6ACED">
      <w:pPr>
        <w:pStyle w:val="6"/>
        <w:bidi w:val="0"/>
        <w:rPr>
          <w:rFonts w:hint="eastAsia"/>
          <w:lang w:val="en-US" w:eastAsia="zh-CN"/>
        </w:rPr>
      </w:pPr>
      <w:bookmarkStart w:id="205" w:name="_Toc8119"/>
      <w:bookmarkStart w:id="206" w:name="_Toc15199"/>
      <w:bookmarkStart w:id="207" w:name="_Toc629"/>
      <w:bookmarkStart w:id="208" w:name="_Toc1785"/>
      <w:bookmarkStart w:id="209" w:name="_Toc3583"/>
      <w:bookmarkStart w:id="210" w:name="_Toc15648"/>
      <w:bookmarkStart w:id="211" w:name="_Toc19251"/>
      <w:bookmarkStart w:id="212" w:name="_Toc7351"/>
      <w:r>
        <w:rPr>
          <w:rFonts w:hint="eastAsia"/>
          <w:lang w:val="en-US" w:eastAsia="zh-CN"/>
        </w:rPr>
        <w:t>（二）绩效评价原则、评价指标体系、评价方法、评价标准</w:t>
      </w:r>
      <w:bookmarkEnd w:id="205"/>
      <w:bookmarkEnd w:id="206"/>
      <w:bookmarkEnd w:id="207"/>
      <w:bookmarkEnd w:id="208"/>
      <w:bookmarkEnd w:id="209"/>
      <w:bookmarkEnd w:id="210"/>
    </w:p>
    <w:p w14:paraId="447F5475">
      <w:pPr>
        <w:pStyle w:val="7"/>
        <w:bidi w:val="0"/>
        <w:rPr>
          <w:rFonts w:hint="eastAsia"/>
          <w:lang w:val="en-US" w:eastAsia="zh-CN"/>
        </w:rPr>
      </w:pPr>
      <w:bookmarkStart w:id="213" w:name="_Toc22525"/>
      <w:bookmarkStart w:id="214" w:name="_Toc26481"/>
      <w:bookmarkStart w:id="215" w:name="_Toc31771"/>
      <w:bookmarkStart w:id="216" w:name="_Toc5812"/>
      <w:bookmarkStart w:id="217" w:name="_Toc4332"/>
      <w:bookmarkStart w:id="218" w:name="_Toc29251"/>
      <w:bookmarkStart w:id="219" w:name="_Toc1602"/>
      <w:bookmarkStart w:id="220" w:name="_Toc12996"/>
      <w:r>
        <w:rPr>
          <w:rFonts w:hint="eastAsia"/>
          <w:lang w:val="en-US" w:eastAsia="zh-CN"/>
        </w:rPr>
        <w:t>1.绩效评价原则</w:t>
      </w:r>
      <w:bookmarkEnd w:id="213"/>
      <w:bookmarkEnd w:id="214"/>
      <w:bookmarkEnd w:id="215"/>
      <w:bookmarkEnd w:id="216"/>
      <w:bookmarkEnd w:id="217"/>
      <w:bookmarkEnd w:id="218"/>
      <w:bookmarkEnd w:id="219"/>
      <w:bookmarkEnd w:id="220"/>
    </w:p>
    <w:p w14:paraId="01622640">
      <w:pPr>
        <w:bidi w:val="0"/>
        <w:rPr>
          <w:rFonts w:hint="eastAsia"/>
          <w:lang w:val="en-US" w:eastAsia="zh-CN"/>
        </w:rPr>
      </w:pPr>
      <w:r>
        <w:rPr>
          <w:rFonts w:hint="eastAsia"/>
          <w:lang w:val="en-US" w:eastAsia="zh-CN"/>
        </w:rPr>
        <w:t>（1）依法依规原则。绩效评价各个环节，充分体现依法依规要求，严格按照规定的管理程序和方法运作。</w:t>
      </w:r>
    </w:p>
    <w:p w14:paraId="752440CD">
      <w:pPr>
        <w:bidi w:val="0"/>
        <w:rPr>
          <w:rFonts w:hint="eastAsia"/>
          <w:lang w:val="en-US" w:eastAsia="zh-CN"/>
        </w:rPr>
      </w:pPr>
      <w:r>
        <w:rPr>
          <w:rFonts w:hint="eastAsia"/>
          <w:lang w:val="en-US" w:eastAsia="zh-CN"/>
        </w:rPr>
        <w:t>（2）科学规范原则。落实相关政策文件情况，按照科学可行的要求，采取定性与定量相结合的分析方法，严格遵守规定程序。</w:t>
      </w:r>
    </w:p>
    <w:p w14:paraId="3396DFBF">
      <w:pPr>
        <w:bidi w:val="0"/>
        <w:rPr>
          <w:rFonts w:hint="eastAsia"/>
          <w:lang w:val="en-US" w:eastAsia="zh-CN"/>
        </w:rPr>
      </w:pPr>
      <w:r>
        <w:rPr>
          <w:rFonts w:hint="eastAsia"/>
          <w:lang w:val="en-US" w:eastAsia="zh-CN"/>
        </w:rPr>
        <w:t>（3）客观公正原则。绩效评价人员本着客观、公正的态度进行项目评价，评价结果依法公开，并接受公众监督。</w:t>
      </w:r>
    </w:p>
    <w:p w14:paraId="2CEE8F6D">
      <w:pPr>
        <w:bidi w:val="0"/>
        <w:rPr>
          <w:rFonts w:hint="eastAsia"/>
          <w:lang w:val="en-US" w:eastAsia="zh-CN"/>
        </w:rPr>
      </w:pPr>
      <w:r>
        <w:rPr>
          <w:rFonts w:hint="eastAsia"/>
          <w:lang w:val="en-US" w:eastAsia="zh-CN"/>
        </w:rPr>
        <w:t>（4）绩效相关原则。在进行绩效评价时，重点关注项目产出情况，包括资金支付与项目实施进度，并对其进行比较，准确反映出二者的关系。</w:t>
      </w:r>
    </w:p>
    <w:p w14:paraId="698F1F17">
      <w:pPr>
        <w:bidi w:val="0"/>
        <w:rPr>
          <w:rFonts w:hint="eastAsia"/>
          <w:lang w:val="en-US" w:eastAsia="zh-CN"/>
        </w:rPr>
      </w:pPr>
      <w:r>
        <w:rPr>
          <w:rFonts w:hint="eastAsia"/>
          <w:lang w:val="en-US" w:eastAsia="zh-CN"/>
        </w:rPr>
        <w:t>（5）激励约束原则。绩效评价结果与预算安排、政策调整、改进管理实质性挂钩，体现奖优罚劣和激励相容导向，有效要安排、低效要压减、无效要问责。</w:t>
      </w:r>
    </w:p>
    <w:p w14:paraId="03A73670">
      <w:pPr>
        <w:bidi w:val="0"/>
        <w:rPr>
          <w:rFonts w:hint="eastAsia"/>
          <w:lang w:val="en-US" w:eastAsia="zh-CN"/>
        </w:rPr>
      </w:pPr>
      <w:r>
        <w:rPr>
          <w:rFonts w:hint="eastAsia"/>
          <w:lang w:val="en-US" w:eastAsia="zh-CN"/>
        </w:rPr>
        <w:t>（6）统筹兼顾。单位自评、部门评价和财政评价应职责明确，各有侧重，相互衔接。单位自评应由项目单位自主实施，即“谁支出、谁自评”。部门评价和财政评价应在单位自评的基础上开展，必要时可委托第三方机构实施。</w:t>
      </w:r>
    </w:p>
    <w:p w14:paraId="732FE058">
      <w:pPr>
        <w:pStyle w:val="7"/>
        <w:bidi w:val="0"/>
        <w:rPr>
          <w:rFonts w:hint="eastAsia"/>
          <w:lang w:val="en-US" w:eastAsia="zh-CN"/>
        </w:rPr>
      </w:pPr>
      <w:bookmarkStart w:id="221" w:name="_Toc18575"/>
      <w:bookmarkStart w:id="222" w:name="_Toc1962"/>
      <w:bookmarkStart w:id="223" w:name="_Toc10445"/>
      <w:r>
        <w:rPr>
          <w:rFonts w:hint="eastAsia"/>
          <w:lang w:val="en-US" w:eastAsia="zh-CN"/>
        </w:rPr>
        <w:t>2.评价指标体系</w:t>
      </w:r>
      <w:bookmarkEnd w:id="221"/>
      <w:bookmarkEnd w:id="222"/>
      <w:bookmarkEnd w:id="223"/>
    </w:p>
    <w:p w14:paraId="7C075F7C">
      <w:pPr>
        <w:bidi w:val="0"/>
        <w:rPr>
          <w:rFonts w:hint="eastAsia"/>
          <w:lang w:val="en-US" w:eastAsia="zh-CN"/>
        </w:rPr>
      </w:pPr>
      <w:r>
        <w:rPr>
          <w:rFonts w:hint="eastAsia"/>
          <w:lang w:val="en-US" w:eastAsia="zh-CN"/>
        </w:rPr>
        <w:t>本次绩效评价指标体系按照《财政部关于印发〈项目支出绩效评价管理办法〉的通知》（财预〔2020〕10号）文件要求设置，由决策、过程、产出、效益4个一级指标。10个二级指标、17个三级指标构成。</w:t>
      </w:r>
    </w:p>
    <w:p w14:paraId="307C214F">
      <w:pPr>
        <w:bidi w:val="0"/>
        <w:rPr>
          <w:rFonts w:hint="eastAsia"/>
          <w:lang w:val="en-US" w:eastAsia="zh-CN"/>
        </w:rPr>
      </w:pPr>
      <w:bookmarkStart w:id="224" w:name="_Toc3586"/>
      <w:bookmarkStart w:id="225" w:name="_Toc8110"/>
      <w:bookmarkStart w:id="226" w:name="_Toc3273"/>
      <w:r>
        <w:rPr>
          <w:rFonts w:hint="eastAsia"/>
          <w:lang w:val="en-US" w:eastAsia="zh-CN"/>
        </w:rPr>
        <w:t>一级指标为：决策（20分）、过程（20分）、产出（40分）、效益（20分），共计100分。</w:t>
      </w:r>
      <w:bookmarkEnd w:id="224"/>
      <w:bookmarkEnd w:id="225"/>
      <w:bookmarkEnd w:id="226"/>
    </w:p>
    <w:p w14:paraId="61856474">
      <w:pPr>
        <w:bidi w:val="0"/>
        <w:rPr>
          <w:rFonts w:hint="eastAsia"/>
          <w:lang w:val="en-US" w:eastAsia="zh-CN"/>
        </w:rPr>
      </w:pPr>
      <w:bookmarkStart w:id="227" w:name="_Toc30789"/>
      <w:bookmarkStart w:id="228" w:name="_Toc18855"/>
      <w:bookmarkStart w:id="229" w:name="_Toc22136"/>
      <w:r>
        <w:rPr>
          <w:rFonts w:hint="eastAsia"/>
          <w:lang w:val="en-US" w:eastAsia="zh-CN"/>
        </w:rPr>
        <w:t>二级指标为：项目立项（5分）、绩效目标（5分）、资金投入（10分）、资金管理（15分）、组织实施（5分）、产出数量（10分）、产出质量（10分）、产出时效（10分）、产出成本（10分）、项目效益（20分），共计100分。</w:t>
      </w:r>
      <w:bookmarkEnd w:id="227"/>
      <w:bookmarkEnd w:id="228"/>
      <w:bookmarkEnd w:id="229"/>
    </w:p>
    <w:p w14:paraId="001A5994">
      <w:pPr>
        <w:bidi w:val="0"/>
        <w:rPr>
          <w:rFonts w:hint="eastAsia"/>
          <w:lang w:val="en-US" w:eastAsia="zh-CN"/>
        </w:rPr>
      </w:pPr>
      <w:bookmarkStart w:id="230" w:name="_Toc14088"/>
      <w:bookmarkStart w:id="231" w:name="_Toc26448"/>
      <w:bookmarkStart w:id="232" w:name="_Toc19096"/>
      <w:r>
        <w:rPr>
          <w:rFonts w:hint="eastAsia"/>
          <w:lang w:val="en-US" w:eastAsia="zh-CN"/>
        </w:rPr>
        <w:t>三级指标为：立项依据充分性（3分）、立项程序规范性（2分）、绩效目标合理性（3分）、绩效指标明确性（2分）、预算编制科学性（5分）、资金分配合理性（5分）、资金到位率（5分）、预算执行率（5分）、资金使用合规性（5分）、管理制度健全性（2分）、制度执行有效性（3分）、实际完成率（10分）、质量达标率（10分）、完成及时性（10分）、成本节约率（10分）、实施效益（10分）、服务对象满意度（10分），共计100分。</w:t>
      </w:r>
      <w:bookmarkEnd w:id="230"/>
      <w:bookmarkEnd w:id="231"/>
      <w:bookmarkEnd w:id="232"/>
    </w:p>
    <w:tbl>
      <w:tblPr>
        <w:tblStyle w:val="15"/>
        <w:tblW w:w="5000" w:type="pct"/>
        <w:jc w:val="center"/>
        <w:tblLayout w:type="autofit"/>
        <w:tblCellMar>
          <w:top w:w="0" w:type="dxa"/>
          <w:left w:w="0" w:type="dxa"/>
          <w:bottom w:w="0" w:type="dxa"/>
          <w:right w:w="0" w:type="dxa"/>
        </w:tblCellMar>
      </w:tblPr>
      <w:tblGrid>
        <w:gridCol w:w="1982"/>
        <w:gridCol w:w="2668"/>
        <w:gridCol w:w="3340"/>
        <w:gridCol w:w="864"/>
      </w:tblGrid>
      <w:tr w14:paraId="46FFD650">
        <w:tblPrEx>
          <w:tblCellMar>
            <w:top w:w="0" w:type="dxa"/>
            <w:left w:w="0" w:type="dxa"/>
            <w:bottom w:w="0" w:type="dxa"/>
            <w:right w:w="0" w:type="dxa"/>
          </w:tblCellMar>
        </w:tblPrEx>
        <w:trPr>
          <w:trHeight w:val="40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4FD227">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0A3ED4">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099264">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1270C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分值</w:t>
            </w:r>
          </w:p>
        </w:tc>
      </w:tr>
      <w:tr w14:paraId="6D972FE5">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4CB284">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决策（20分）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8D432C">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项目立项（5分）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A84A1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立项依据充分性（3分）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310CFF">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3</w:t>
            </w:r>
          </w:p>
        </w:tc>
      </w:tr>
      <w:tr w14:paraId="6E11405A">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06D660">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15662A">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9A3A4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立项程序规范性（2分）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AF876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2</w:t>
            </w:r>
          </w:p>
        </w:tc>
      </w:tr>
      <w:tr w14:paraId="4F226C59">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719F0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23BEA9">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绩效目标（5分）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345B75">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绩效目标</w:t>
            </w:r>
            <w:r>
              <w:rPr>
                <w:rFonts w:hint="eastAsia" w:ascii="方正仿宋_GBK" w:hAnsi="方正仿宋_GBK" w:eastAsia="方正仿宋_GBK" w:cs="方正仿宋_GBK"/>
                <w:color w:val="auto"/>
                <w:sz w:val="24"/>
                <w:szCs w:val="24"/>
                <w:lang w:eastAsia="zh-CN"/>
              </w:rPr>
              <w:t>合理性</w:t>
            </w:r>
            <w:r>
              <w:rPr>
                <w:rFonts w:hint="eastAsia" w:ascii="方正仿宋_GBK" w:hAnsi="方正仿宋_GBK" w:eastAsia="方正仿宋_GBK" w:cs="方正仿宋_GBK"/>
                <w:color w:val="auto"/>
                <w:sz w:val="24"/>
                <w:szCs w:val="24"/>
              </w:rPr>
              <w:t>（3分）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17DD14">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3</w:t>
            </w:r>
          </w:p>
        </w:tc>
      </w:tr>
      <w:tr w14:paraId="7CEE6B12">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D773D3">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077238">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B083F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绩效指标</w:t>
            </w:r>
            <w:r>
              <w:rPr>
                <w:rFonts w:hint="eastAsia" w:ascii="方正仿宋_GBK" w:hAnsi="方正仿宋_GBK" w:eastAsia="方正仿宋_GBK" w:cs="方正仿宋_GBK"/>
                <w:color w:val="auto"/>
                <w:sz w:val="24"/>
                <w:szCs w:val="24"/>
                <w:lang w:eastAsia="zh-CN"/>
              </w:rPr>
              <w:t>明确性</w:t>
            </w:r>
            <w:r>
              <w:rPr>
                <w:rFonts w:hint="eastAsia" w:ascii="方正仿宋_GBK" w:hAnsi="方正仿宋_GBK" w:eastAsia="方正仿宋_GBK" w:cs="方正仿宋_GBK"/>
                <w:color w:val="auto"/>
                <w:sz w:val="24"/>
                <w:szCs w:val="24"/>
              </w:rPr>
              <w:t>（2分）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72D07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2</w:t>
            </w:r>
          </w:p>
        </w:tc>
      </w:tr>
      <w:tr w14:paraId="4B70AD67">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DE11B9">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39814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资金投入（10分）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F243E3">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预算编制</w:t>
            </w:r>
            <w:r>
              <w:rPr>
                <w:rFonts w:hint="eastAsia" w:ascii="方正仿宋_GBK" w:hAnsi="方正仿宋_GBK" w:eastAsia="方正仿宋_GBK" w:cs="方正仿宋_GBK"/>
                <w:color w:val="auto"/>
                <w:sz w:val="24"/>
                <w:szCs w:val="24"/>
                <w:lang w:eastAsia="zh-CN"/>
              </w:rPr>
              <w:t>科学性</w:t>
            </w:r>
            <w:r>
              <w:rPr>
                <w:rFonts w:hint="eastAsia" w:ascii="方正仿宋_GBK" w:hAnsi="方正仿宋_GBK" w:eastAsia="方正仿宋_GBK" w:cs="方正仿宋_GBK"/>
                <w:color w:val="auto"/>
                <w:sz w:val="24"/>
                <w:szCs w:val="24"/>
              </w:rPr>
              <w:t>（5分）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2B67CC">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r>
      <w:tr w14:paraId="313774F9">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44DA6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8A7D82">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DFAC3B">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资金分配合理性（5分）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CEA84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r>
      <w:tr w14:paraId="77BD5E22">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A63B3E">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过程（20分）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78215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资金管理（15分）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BBEF9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资金到位率（5分）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509139">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r>
      <w:tr w14:paraId="0A40B091">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94804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1F36EB">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599956">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预算执行率（5分）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47E4B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r>
      <w:tr w14:paraId="7C996058">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97FA43">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7697F4">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392D69">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资金使用合规性（5分）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2B9A0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5</w:t>
            </w:r>
          </w:p>
        </w:tc>
      </w:tr>
      <w:tr w14:paraId="1A278FE3">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2C6F5F">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D1985C">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组织实施（5分）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23C03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管理制度健全性（2分）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BA0EC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2</w:t>
            </w:r>
          </w:p>
        </w:tc>
      </w:tr>
      <w:tr w14:paraId="52A70B97">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C1B9B9">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457178">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720A5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制度执行</w:t>
            </w:r>
            <w:r>
              <w:rPr>
                <w:rFonts w:hint="eastAsia" w:ascii="方正仿宋_GBK" w:hAnsi="方正仿宋_GBK" w:eastAsia="方正仿宋_GBK" w:cs="方正仿宋_GBK"/>
                <w:color w:val="auto"/>
                <w:sz w:val="24"/>
                <w:szCs w:val="24"/>
                <w:lang w:eastAsia="zh-CN"/>
              </w:rPr>
              <w:t>有效性</w:t>
            </w:r>
            <w:r>
              <w:rPr>
                <w:rFonts w:hint="eastAsia" w:ascii="方正仿宋_GBK" w:hAnsi="方正仿宋_GBK" w:eastAsia="方正仿宋_GBK" w:cs="方正仿宋_GBK"/>
                <w:color w:val="auto"/>
                <w:sz w:val="24"/>
                <w:szCs w:val="24"/>
              </w:rPr>
              <w:t>（3分）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F46A45">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3</w:t>
            </w:r>
          </w:p>
        </w:tc>
      </w:tr>
      <w:tr w14:paraId="1CBF9930">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841990">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产出（40分）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D5E91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产出数量（10分）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2DA38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实际完成率（10分）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4143E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5625DABB">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821D8C">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E3E0B1">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产出质量（10分）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D987E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质量达标率（10分）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B8758F">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7B36D8F2">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23B834">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728E90">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产出时效（10分）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EAE45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完成及时性（10分）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4E92C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1629E870">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9E3FB">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2FB0F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产出成本（10分）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09616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成本节约率（10分）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303516">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1179F1A6">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F3BE73">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效益（20分）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CA4025">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项目效益（20分）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E963D">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实施效益（10分）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2626E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749458F1">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395D2B">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8E6C11">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9EAD3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满意度（10分）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F91852">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w:t>
            </w:r>
          </w:p>
        </w:tc>
      </w:tr>
      <w:tr w14:paraId="41E92F77">
        <w:tblPrEx>
          <w:tblCellMar>
            <w:top w:w="0" w:type="dxa"/>
            <w:left w:w="0" w:type="dxa"/>
            <w:bottom w:w="0" w:type="dxa"/>
            <w:right w:w="0" w:type="dxa"/>
          </w:tblCellMar>
        </w:tblPrEx>
        <w:trPr>
          <w:trHeight w:val="400"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D14039">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3EEB1A">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100</w:t>
            </w:r>
          </w:p>
        </w:tc>
      </w:tr>
    </w:tbl>
    <w:p w14:paraId="22E5C0F0">
      <w:pPr>
        <w:pStyle w:val="7"/>
        <w:bidi w:val="0"/>
        <w:rPr>
          <w:rFonts w:hint="eastAsia"/>
          <w:lang w:val="en-US" w:eastAsia="zh-CN"/>
        </w:rPr>
      </w:pPr>
      <w:bookmarkStart w:id="233" w:name="_Toc16643"/>
      <w:bookmarkStart w:id="234" w:name="_Toc7544"/>
      <w:bookmarkStart w:id="235" w:name="_Toc9915"/>
      <w:r>
        <w:rPr>
          <w:rFonts w:hint="eastAsia"/>
          <w:lang w:val="en-US" w:eastAsia="zh-CN"/>
        </w:rPr>
        <w:t>3.绩效评价方法</w:t>
      </w:r>
      <w:bookmarkEnd w:id="233"/>
      <w:bookmarkEnd w:id="234"/>
      <w:bookmarkEnd w:id="235"/>
    </w:p>
    <w:p w14:paraId="5694C8EA">
      <w:pPr>
        <w:bidi w:val="0"/>
        <w:rPr>
          <w:rFonts w:hint="eastAsia"/>
          <w:lang w:val="en-US" w:eastAsia="zh-CN"/>
        </w:rPr>
      </w:pPr>
      <w:r>
        <w:rPr>
          <w:rFonts w:hint="eastAsia"/>
          <w:lang w:val="en-US" w:eastAsia="zh-CN"/>
        </w:rPr>
        <w:t>本次评价的方法按照《财政部关于印发〈项目支出绩效评价管理办法〉的通知》（财预〔2020〕10号）要求，主要采取比较法和调查法。一是比较法。对项目支出情况及建设后的产出及效果与项目实施计划目标进行比较，分析预计目标的完成程度。二是调查法（包括抽样调查、现场调查和问卷调查）。抽样调查是从评价项目中，抽取一部分内容进行实地考察和分析，并根据这部分内容的特征去推断项目全部的特征。现场调查是通过现场抽查、询问等方法，对项目效益等指标进行复核性评价。问卷调查是针对项目区利益相关方实施的调查，并对调查结果进行统计、分析和评定。</w:t>
      </w:r>
    </w:p>
    <w:bookmarkEnd w:id="211"/>
    <w:bookmarkEnd w:id="212"/>
    <w:p w14:paraId="375C065E">
      <w:pPr>
        <w:pStyle w:val="7"/>
        <w:bidi w:val="0"/>
        <w:rPr>
          <w:rFonts w:hint="eastAsia"/>
          <w:lang w:val="en-US" w:eastAsia="zh-CN"/>
        </w:rPr>
      </w:pPr>
      <w:bookmarkStart w:id="236" w:name="_Toc9682"/>
      <w:bookmarkStart w:id="237" w:name="_Toc21253"/>
      <w:bookmarkStart w:id="238" w:name="_Toc10700"/>
      <w:bookmarkStart w:id="239" w:name="_Toc6819"/>
      <w:bookmarkStart w:id="240" w:name="_Toc242"/>
      <w:r>
        <w:rPr>
          <w:rFonts w:hint="eastAsia"/>
          <w:lang w:val="en-US" w:eastAsia="zh-CN"/>
        </w:rPr>
        <w:t>4.评价标准</w:t>
      </w:r>
    </w:p>
    <w:p w14:paraId="2D2C8FCB">
      <w:pPr>
        <w:bidi w:val="0"/>
        <w:rPr>
          <w:rFonts w:hint="eastAsia"/>
          <w:lang w:val="en-US" w:eastAsia="zh-CN"/>
        </w:rPr>
      </w:pPr>
      <w:r>
        <w:rPr>
          <w:rFonts w:hint="eastAsia"/>
          <w:lang w:val="en-US" w:eastAsia="zh-CN"/>
        </w:rPr>
        <w:t>绩效评价标准通常包括计划标准、行业标准、历史标准等。本次绩效评价采用计划标准，以预先制定的目标、计划、预算、定额等作为评价标准，对比分析项目产出、效益的完成情况。</w:t>
      </w:r>
    </w:p>
    <w:p w14:paraId="1F16A076">
      <w:pPr>
        <w:pStyle w:val="6"/>
        <w:bidi w:val="0"/>
        <w:rPr>
          <w:rFonts w:hint="eastAsia"/>
          <w:lang w:val="en-US" w:eastAsia="zh-CN"/>
        </w:rPr>
      </w:pPr>
      <w:bookmarkStart w:id="241" w:name="_Toc8121"/>
      <w:bookmarkStart w:id="242" w:name="_Toc23548"/>
      <w:bookmarkStart w:id="243" w:name="_Toc4034"/>
      <w:bookmarkStart w:id="244" w:name="_Toc13310"/>
      <w:bookmarkStart w:id="245" w:name="_Toc12475"/>
      <w:bookmarkStart w:id="246" w:name="_Toc24720"/>
      <w:r>
        <w:rPr>
          <w:rFonts w:hint="eastAsia"/>
          <w:lang w:val="en-US" w:eastAsia="zh-CN"/>
        </w:rPr>
        <w:t>（三）绩效评价工作过程</w:t>
      </w:r>
      <w:bookmarkEnd w:id="241"/>
      <w:bookmarkEnd w:id="242"/>
      <w:bookmarkEnd w:id="243"/>
      <w:bookmarkEnd w:id="244"/>
      <w:bookmarkEnd w:id="245"/>
      <w:bookmarkEnd w:id="246"/>
    </w:p>
    <w:p w14:paraId="36B2471F">
      <w:pPr>
        <w:pStyle w:val="7"/>
        <w:bidi w:val="0"/>
        <w:rPr>
          <w:rFonts w:hint="eastAsia"/>
          <w:lang w:val="en-US" w:eastAsia="zh-CN"/>
        </w:rPr>
      </w:pPr>
      <w:r>
        <w:rPr>
          <w:rFonts w:hint="eastAsia"/>
          <w:lang w:val="en-US" w:eastAsia="zh-CN"/>
        </w:rPr>
        <w:t>第一阶段：前期准备。</w:t>
      </w:r>
    </w:p>
    <w:p w14:paraId="70989211">
      <w:pPr>
        <w:bidi w:val="0"/>
        <w:rPr>
          <w:rFonts w:hint="eastAsia"/>
          <w:lang w:eastAsia="zh-CN"/>
        </w:rPr>
      </w:pPr>
      <w:r>
        <w:rPr>
          <w:rFonts w:hint="eastAsia"/>
          <w:lang w:val="en-US" w:eastAsia="zh-CN"/>
        </w:rPr>
        <w:t>新疆鸿晟达信息咨询有限公司作为专业第三方机构，承担本项目评价职责，成立绩效评价工作小组，</w:t>
      </w:r>
      <w:r>
        <w:rPr>
          <w:rFonts w:hint="eastAsia"/>
          <w:lang w:eastAsia="zh-CN"/>
        </w:rPr>
        <w:t>组长：路振蕊，副组长：胡超，成员：迪娜克孜、赵秀娟、蒋艳，按绩效评价工作程序开展绩效评价工作。具体分工如下：</w:t>
      </w:r>
    </w:p>
    <w:tbl>
      <w:tblPr>
        <w:tblStyle w:val="16"/>
        <w:tblpPr w:leftFromText="180" w:rightFromText="180" w:vertAnchor="text" w:horzAnchor="page" w:tblpX="1871" w:tblpY="3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090"/>
        <w:gridCol w:w="1042"/>
        <w:gridCol w:w="4053"/>
        <w:gridCol w:w="1513"/>
      </w:tblGrid>
      <w:tr w14:paraId="0E78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shd w:val="clear" w:color="auto" w:fill="CFCECE"/>
            <w:noWrap w:val="0"/>
            <w:vAlign w:val="top"/>
          </w:tcPr>
          <w:p w14:paraId="147AECE5">
            <w:pPr>
              <w:keepNext w:val="0"/>
              <w:keepLines w:val="0"/>
              <w:suppressLineNumbers w:val="0"/>
              <w:spacing w:before="0" w:beforeAutospacing="0" w:after="0" w:afterAutospacing="0"/>
              <w:ind w:left="0" w:right="0" w:firstLine="0" w:firstLineChars="0"/>
              <w:jc w:val="both"/>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序号</w:t>
            </w:r>
          </w:p>
        </w:tc>
        <w:tc>
          <w:tcPr>
            <w:tcW w:w="1090" w:type="dxa"/>
            <w:shd w:val="clear" w:color="auto" w:fill="CFCECE"/>
            <w:noWrap w:val="0"/>
            <w:vAlign w:val="top"/>
          </w:tcPr>
          <w:p w14:paraId="5084CEAE">
            <w:pPr>
              <w:keepNext w:val="0"/>
              <w:keepLines w:val="0"/>
              <w:suppressLineNumbers w:val="0"/>
              <w:spacing w:before="0" w:beforeAutospacing="0" w:after="0" w:afterAutospacing="0"/>
              <w:ind w:left="0" w:right="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姓名</w:t>
            </w:r>
          </w:p>
        </w:tc>
        <w:tc>
          <w:tcPr>
            <w:tcW w:w="1042" w:type="dxa"/>
            <w:shd w:val="clear" w:color="auto" w:fill="CFCECE"/>
            <w:noWrap w:val="0"/>
            <w:vAlign w:val="top"/>
          </w:tcPr>
          <w:p w14:paraId="615E23F2">
            <w:pPr>
              <w:keepNext w:val="0"/>
              <w:keepLines w:val="0"/>
              <w:suppressLineNumbers w:val="0"/>
              <w:spacing w:before="0" w:beforeAutospacing="0" w:after="0" w:afterAutospacing="0"/>
              <w:ind w:left="0" w:right="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职务</w:t>
            </w:r>
          </w:p>
        </w:tc>
        <w:tc>
          <w:tcPr>
            <w:tcW w:w="4053" w:type="dxa"/>
            <w:shd w:val="clear" w:color="auto" w:fill="CFCECE"/>
            <w:noWrap w:val="0"/>
            <w:vAlign w:val="top"/>
          </w:tcPr>
          <w:p w14:paraId="43873715">
            <w:pPr>
              <w:keepNext w:val="0"/>
              <w:keepLines w:val="0"/>
              <w:suppressLineNumbers w:val="0"/>
              <w:spacing w:before="0" w:beforeAutospacing="0" w:after="0" w:afterAutospacing="0"/>
              <w:ind w:left="0" w:right="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责任分工</w:t>
            </w:r>
          </w:p>
        </w:tc>
        <w:tc>
          <w:tcPr>
            <w:tcW w:w="1513" w:type="dxa"/>
            <w:shd w:val="clear" w:color="auto" w:fill="CFCECE"/>
            <w:noWrap w:val="0"/>
            <w:vAlign w:val="top"/>
          </w:tcPr>
          <w:p w14:paraId="1561AB4D">
            <w:pPr>
              <w:keepNext w:val="0"/>
              <w:keepLines w:val="0"/>
              <w:suppressLineNumbers w:val="0"/>
              <w:spacing w:before="0" w:beforeAutospacing="0" w:after="0" w:afterAutospacing="0"/>
              <w:ind w:left="0" w:right="0" w:firstLine="0" w:firstLineChars="0"/>
              <w:jc w:val="center"/>
              <w:rPr>
                <w:rFonts w:hint="eastAsia" w:eastAsia="宋体" w:cs="Times New Roman"/>
                <w:color w:val="auto"/>
                <w:sz w:val="21"/>
                <w:szCs w:val="24"/>
                <w:vertAlign w:val="baseline"/>
                <w:lang w:eastAsia="zh-CN"/>
              </w:rPr>
            </w:pPr>
            <w:r>
              <w:rPr>
                <w:rFonts w:hint="eastAsia" w:eastAsia="宋体" w:cs="Times New Roman"/>
                <w:color w:val="auto"/>
                <w:sz w:val="21"/>
                <w:szCs w:val="24"/>
                <w:vertAlign w:val="baseline"/>
                <w:lang w:eastAsia="zh-CN"/>
              </w:rPr>
              <w:t>联系电话</w:t>
            </w:r>
          </w:p>
        </w:tc>
      </w:tr>
      <w:tr w14:paraId="7FAF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37117FF6">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w:t>
            </w:r>
          </w:p>
        </w:tc>
        <w:tc>
          <w:tcPr>
            <w:tcW w:w="1090" w:type="dxa"/>
            <w:noWrap w:val="0"/>
            <w:vAlign w:val="top"/>
          </w:tcPr>
          <w:p w14:paraId="69CB87F6">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路振蕊</w:t>
            </w:r>
          </w:p>
        </w:tc>
        <w:tc>
          <w:tcPr>
            <w:tcW w:w="1042" w:type="dxa"/>
            <w:noWrap w:val="0"/>
            <w:vAlign w:val="top"/>
          </w:tcPr>
          <w:p w14:paraId="01EE01B5">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评价终审</w:t>
            </w:r>
          </w:p>
        </w:tc>
        <w:tc>
          <w:tcPr>
            <w:tcW w:w="4053" w:type="dxa"/>
            <w:noWrap w:val="0"/>
            <w:vAlign w:val="top"/>
          </w:tcPr>
          <w:p w14:paraId="246465FF">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终审把关评价报告</w:t>
            </w:r>
          </w:p>
        </w:tc>
        <w:tc>
          <w:tcPr>
            <w:tcW w:w="1513" w:type="dxa"/>
            <w:noWrap w:val="0"/>
            <w:vAlign w:val="top"/>
          </w:tcPr>
          <w:p w14:paraId="681186DC">
            <w:pPr>
              <w:keepNext w:val="0"/>
              <w:keepLines w:val="0"/>
              <w:suppressLineNumbers w:val="0"/>
              <w:spacing w:before="0" w:beforeAutospacing="0" w:after="0" w:afterAutospacing="0"/>
              <w:ind w:left="0" w:right="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18299661021</w:t>
            </w:r>
          </w:p>
        </w:tc>
      </w:tr>
      <w:tr w14:paraId="4F16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6C2D49BF">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2</w:t>
            </w:r>
          </w:p>
        </w:tc>
        <w:tc>
          <w:tcPr>
            <w:tcW w:w="1090" w:type="dxa"/>
            <w:noWrap w:val="0"/>
            <w:vAlign w:val="top"/>
          </w:tcPr>
          <w:p w14:paraId="08F06086">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胡</w:t>
            </w:r>
            <w:r>
              <w:rPr>
                <w:rFonts w:hint="eastAsia" w:ascii="仿宋" w:hAnsi="仿宋" w:eastAsia="仿宋" w:cs="仿宋"/>
                <w:color w:val="auto"/>
                <w:sz w:val="20"/>
                <w:szCs w:val="22"/>
                <w:vertAlign w:val="baseline"/>
                <w:lang w:val="en-US" w:eastAsia="zh-CN"/>
              </w:rPr>
              <w:t xml:space="preserve">  </w:t>
            </w:r>
            <w:r>
              <w:rPr>
                <w:rFonts w:hint="eastAsia" w:ascii="仿宋" w:hAnsi="仿宋" w:eastAsia="仿宋" w:cs="仿宋"/>
                <w:color w:val="auto"/>
                <w:sz w:val="20"/>
                <w:szCs w:val="22"/>
                <w:vertAlign w:val="baseline"/>
                <w:lang w:eastAsia="zh-CN"/>
              </w:rPr>
              <w:t>超</w:t>
            </w:r>
          </w:p>
        </w:tc>
        <w:tc>
          <w:tcPr>
            <w:tcW w:w="1042" w:type="dxa"/>
            <w:noWrap w:val="0"/>
            <w:vAlign w:val="top"/>
          </w:tcPr>
          <w:p w14:paraId="70A1DF2E">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项目组长</w:t>
            </w:r>
          </w:p>
        </w:tc>
        <w:tc>
          <w:tcPr>
            <w:tcW w:w="4053" w:type="dxa"/>
            <w:noWrap w:val="0"/>
            <w:vAlign w:val="top"/>
          </w:tcPr>
          <w:p w14:paraId="05D096F3">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复核评价报告及工作资料</w:t>
            </w:r>
          </w:p>
        </w:tc>
        <w:tc>
          <w:tcPr>
            <w:tcW w:w="1513" w:type="dxa"/>
            <w:noWrap w:val="0"/>
            <w:vAlign w:val="top"/>
          </w:tcPr>
          <w:p w14:paraId="2CC88F1A">
            <w:pPr>
              <w:keepNext w:val="0"/>
              <w:keepLines w:val="0"/>
              <w:suppressLineNumbers w:val="0"/>
              <w:spacing w:before="0" w:beforeAutospacing="0" w:after="0" w:afterAutospacing="0"/>
              <w:ind w:left="0" w:right="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18399127771</w:t>
            </w:r>
          </w:p>
        </w:tc>
      </w:tr>
      <w:tr w14:paraId="4C6F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398037EF">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3</w:t>
            </w:r>
          </w:p>
        </w:tc>
        <w:tc>
          <w:tcPr>
            <w:tcW w:w="1090" w:type="dxa"/>
            <w:noWrap w:val="0"/>
            <w:vAlign w:val="top"/>
          </w:tcPr>
          <w:p w14:paraId="78AAE857">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迪娜克孜</w:t>
            </w:r>
          </w:p>
        </w:tc>
        <w:tc>
          <w:tcPr>
            <w:tcW w:w="1042" w:type="dxa"/>
            <w:noWrap w:val="0"/>
            <w:vAlign w:val="top"/>
          </w:tcPr>
          <w:p w14:paraId="7A5D7F36">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项目助理</w:t>
            </w:r>
          </w:p>
        </w:tc>
        <w:tc>
          <w:tcPr>
            <w:tcW w:w="4053" w:type="dxa"/>
            <w:noWrap w:val="0"/>
            <w:vAlign w:val="top"/>
          </w:tcPr>
          <w:p w14:paraId="416CFE91">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504E5B2A">
            <w:pPr>
              <w:keepNext w:val="0"/>
              <w:keepLines w:val="0"/>
              <w:suppressLineNumbers w:val="0"/>
              <w:spacing w:before="0" w:beforeAutospacing="0" w:after="0" w:afterAutospacing="0"/>
              <w:ind w:left="0" w:right="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13899884709</w:t>
            </w:r>
          </w:p>
        </w:tc>
      </w:tr>
      <w:tr w14:paraId="34D3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60F3E6A4">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4</w:t>
            </w:r>
          </w:p>
        </w:tc>
        <w:tc>
          <w:tcPr>
            <w:tcW w:w="1090" w:type="dxa"/>
            <w:noWrap w:val="0"/>
            <w:vAlign w:val="top"/>
          </w:tcPr>
          <w:p w14:paraId="5F948DDB">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赵秀娟</w:t>
            </w:r>
          </w:p>
        </w:tc>
        <w:tc>
          <w:tcPr>
            <w:tcW w:w="1042" w:type="dxa"/>
            <w:noWrap w:val="0"/>
            <w:vAlign w:val="top"/>
          </w:tcPr>
          <w:p w14:paraId="35FC0E98">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rPr>
            </w:pPr>
            <w:r>
              <w:rPr>
                <w:rFonts w:hint="eastAsia" w:ascii="仿宋" w:hAnsi="仿宋" w:eastAsia="仿宋" w:cs="仿宋"/>
                <w:color w:val="auto"/>
                <w:sz w:val="20"/>
                <w:szCs w:val="22"/>
                <w:vertAlign w:val="baseline"/>
                <w:lang w:eastAsia="zh-CN"/>
              </w:rPr>
              <w:t>项目助理</w:t>
            </w:r>
          </w:p>
        </w:tc>
        <w:tc>
          <w:tcPr>
            <w:tcW w:w="4053" w:type="dxa"/>
            <w:noWrap w:val="0"/>
            <w:vAlign w:val="top"/>
          </w:tcPr>
          <w:p w14:paraId="075355D7">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3327350F">
            <w:pPr>
              <w:keepNext w:val="0"/>
              <w:keepLines w:val="0"/>
              <w:suppressLineNumbers w:val="0"/>
              <w:spacing w:before="0" w:beforeAutospacing="0" w:after="0" w:afterAutospacing="0"/>
              <w:ind w:left="0" w:right="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18399621218</w:t>
            </w:r>
          </w:p>
        </w:tc>
      </w:tr>
      <w:tr w14:paraId="2CC6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noWrap w:val="0"/>
            <w:vAlign w:val="top"/>
          </w:tcPr>
          <w:p w14:paraId="53209579">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kern w:val="2"/>
                <w:sz w:val="20"/>
                <w:szCs w:val="22"/>
                <w:vertAlign w:val="baseline"/>
                <w:lang w:val="en-US" w:eastAsia="zh-CN" w:bidi="ar-SA"/>
              </w:rPr>
              <w:t>5</w:t>
            </w:r>
          </w:p>
        </w:tc>
        <w:tc>
          <w:tcPr>
            <w:tcW w:w="1090" w:type="dxa"/>
            <w:noWrap w:val="0"/>
            <w:vAlign w:val="top"/>
          </w:tcPr>
          <w:p w14:paraId="4154A318">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auto"/>
                <w:kern w:val="2"/>
                <w:sz w:val="20"/>
                <w:szCs w:val="22"/>
                <w:vertAlign w:val="baseline"/>
                <w:lang w:val="en-US" w:eastAsia="zh-CN" w:bidi="ar-SA"/>
              </w:rPr>
            </w:pPr>
            <w:r>
              <w:rPr>
                <w:rFonts w:hint="eastAsia" w:ascii="仿宋" w:hAnsi="仿宋" w:eastAsia="仿宋" w:cs="仿宋"/>
                <w:color w:val="auto"/>
                <w:sz w:val="20"/>
                <w:szCs w:val="22"/>
                <w:vertAlign w:val="baseline"/>
                <w:lang w:eastAsia="zh-CN"/>
              </w:rPr>
              <w:t>蒋</w:t>
            </w:r>
            <w:r>
              <w:rPr>
                <w:rFonts w:hint="eastAsia" w:ascii="仿宋" w:hAnsi="仿宋" w:eastAsia="仿宋" w:cs="仿宋"/>
                <w:color w:val="auto"/>
                <w:sz w:val="20"/>
                <w:szCs w:val="22"/>
                <w:vertAlign w:val="baseline"/>
                <w:lang w:val="en-US" w:eastAsia="zh-CN"/>
              </w:rPr>
              <w:t xml:space="preserve">  </w:t>
            </w:r>
            <w:r>
              <w:rPr>
                <w:rFonts w:hint="eastAsia" w:ascii="仿宋" w:hAnsi="仿宋" w:eastAsia="仿宋" w:cs="仿宋"/>
                <w:color w:val="auto"/>
                <w:sz w:val="20"/>
                <w:szCs w:val="22"/>
                <w:vertAlign w:val="baseline"/>
                <w:lang w:eastAsia="zh-CN"/>
              </w:rPr>
              <w:t>艳</w:t>
            </w:r>
          </w:p>
        </w:tc>
        <w:tc>
          <w:tcPr>
            <w:tcW w:w="1042" w:type="dxa"/>
            <w:noWrap w:val="0"/>
            <w:vAlign w:val="top"/>
          </w:tcPr>
          <w:p w14:paraId="4972C6E9">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rPr>
            </w:pPr>
            <w:r>
              <w:rPr>
                <w:rFonts w:hint="eastAsia" w:ascii="仿宋" w:hAnsi="仿宋" w:eastAsia="仿宋" w:cs="仿宋"/>
                <w:color w:val="auto"/>
                <w:sz w:val="20"/>
                <w:szCs w:val="22"/>
                <w:vertAlign w:val="baseline"/>
                <w:lang w:eastAsia="zh-CN"/>
              </w:rPr>
              <w:t>项目助理</w:t>
            </w:r>
          </w:p>
        </w:tc>
        <w:tc>
          <w:tcPr>
            <w:tcW w:w="4053" w:type="dxa"/>
            <w:noWrap w:val="0"/>
            <w:vAlign w:val="top"/>
          </w:tcPr>
          <w:p w14:paraId="446B4544">
            <w:pPr>
              <w:keepNext w:val="0"/>
              <w:keepLines w:val="0"/>
              <w:suppressLineNumbers w:val="0"/>
              <w:spacing w:before="0" w:beforeAutospacing="0" w:after="0" w:afterAutospacing="0"/>
              <w:ind w:left="0" w:right="0" w:firstLine="0" w:firstLineChars="0"/>
              <w:rPr>
                <w:rFonts w:hint="eastAsia" w:ascii="仿宋" w:hAnsi="仿宋" w:eastAsia="仿宋" w:cs="仿宋"/>
                <w:color w:val="auto"/>
                <w:sz w:val="20"/>
                <w:szCs w:val="22"/>
                <w:vertAlign w:val="baseline"/>
                <w:lang w:eastAsia="zh-CN"/>
              </w:rPr>
            </w:pPr>
            <w:r>
              <w:rPr>
                <w:rFonts w:hint="eastAsia" w:ascii="仿宋" w:hAnsi="仿宋" w:eastAsia="仿宋" w:cs="仿宋"/>
                <w:color w:val="auto"/>
                <w:sz w:val="20"/>
                <w:szCs w:val="22"/>
                <w:vertAlign w:val="baseline"/>
                <w:lang w:eastAsia="zh-CN"/>
              </w:rPr>
              <w:t>搜集项目资料，审核项目，撰写报告。</w:t>
            </w:r>
          </w:p>
        </w:tc>
        <w:tc>
          <w:tcPr>
            <w:tcW w:w="1513" w:type="dxa"/>
            <w:noWrap w:val="0"/>
            <w:vAlign w:val="top"/>
          </w:tcPr>
          <w:p w14:paraId="7E4B2124">
            <w:pPr>
              <w:keepNext w:val="0"/>
              <w:keepLines w:val="0"/>
              <w:suppressLineNumbers w:val="0"/>
              <w:spacing w:before="0" w:beforeAutospacing="0" w:after="0" w:afterAutospacing="0"/>
              <w:ind w:left="0" w:right="0" w:firstLine="0" w:firstLineChars="0"/>
              <w:rPr>
                <w:rFonts w:hint="default" w:ascii="仿宋" w:hAnsi="仿宋" w:eastAsia="仿宋" w:cs="仿宋"/>
                <w:color w:val="auto"/>
                <w:sz w:val="20"/>
                <w:szCs w:val="22"/>
                <w:vertAlign w:val="baseline"/>
                <w:lang w:val="en-US" w:eastAsia="zh-CN"/>
              </w:rPr>
            </w:pPr>
            <w:r>
              <w:rPr>
                <w:rFonts w:hint="eastAsia" w:ascii="仿宋" w:hAnsi="仿宋" w:eastAsia="仿宋" w:cs="仿宋"/>
                <w:color w:val="auto"/>
                <w:sz w:val="20"/>
                <w:szCs w:val="22"/>
                <w:vertAlign w:val="baseline"/>
                <w:lang w:val="en-US" w:eastAsia="zh-CN"/>
              </w:rPr>
              <w:t>18709985377</w:t>
            </w:r>
          </w:p>
        </w:tc>
      </w:tr>
    </w:tbl>
    <w:p w14:paraId="7F2FD206">
      <w:pPr>
        <w:bidi w:val="0"/>
        <w:rPr>
          <w:rFonts w:hint="eastAsia"/>
          <w:lang w:val="en-US" w:eastAsia="zh-CN"/>
        </w:rPr>
      </w:pPr>
      <w:r>
        <w:rPr>
          <w:rFonts w:hint="eastAsia"/>
          <w:lang w:val="en-US" w:eastAsia="zh-CN"/>
        </w:rPr>
        <w:t>（1）原始资料查阅</w:t>
      </w:r>
    </w:p>
    <w:p w14:paraId="1C220708">
      <w:pPr>
        <w:bidi w:val="0"/>
        <w:rPr>
          <w:rFonts w:hint="eastAsia"/>
          <w:lang w:val="en-US" w:eastAsia="zh-CN"/>
        </w:rPr>
      </w:pPr>
      <w:r>
        <w:rPr>
          <w:rFonts w:hint="eastAsia"/>
          <w:lang w:val="en-US" w:eastAsia="zh-CN"/>
        </w:rPr>
        <w:t>评价小组在莎车县民政局全力配合协助下，收集项目相关背景资料、项目目标、预算资料、项目执行管理资料、项目资金支付资料，对项目相关信息进行深入分析。根据《项目支出绩效评价管理办法》（财预〔2020〕10号）文件要求，结合项目的特点，梳理绩效评价总体思路，形成项目评价指标体系。</w:t>
      </w:r>
    </w:p>
    <w:p w14:paraId="703B9CE1">
      <w:pPr>
        <w:bidi w:val="0"/>
        <w:rPr>
          <w:rFonts w:hint="eastAsia"/>
          <w:lang w:val="en-US" w:eastAsia="zh-CN"/>
        </w:rPr>
      </w:pPr>
      <w:r>
        <w:rPr>
          <w:rFonts w:hint="eastAsia"/>
          <w:lang w:val="en-US" w:eastAsia="zh-CN"/>
        </w:rPr>
        <w:t>（2）确定评价思路和方法</w:t>
      </w:r>
    </w:p>
    <w:p w14:paraId="3258D60B">
      <w:pPr>
        <w:bidi w:val="0"/>
        <w:rPr>
          <w:rFonts w:hint="eastAsia"/>
          <w:lang w:val="en-US" w:eastAsia="zh-CN"/>
        </w:rPr>
      </w:pPr>
      <w:r>
        <w:rPr>
          <w:rFonts w:hint="eastAsia"/>
          <w:lang w:val="en-US" w:eastAsia="zh-CN"/>
        </w:rPr>
        <w:t>按照《项目支出绩效评价管理办法》（财预〔2020〕10号）文件要求，制定项目绩效评价指标体系，主要围绕项目决策、资金投入、过程管理、产出效果和社会效益。通过问卷、访谈等方式获取评价数据，明确工作方法和步骤，制定科学合理的工作计划。</w:t>
      </w:r>
    </w:p>
    <w:p w14:paraId="449B27DE">
      <w:pPr>
        <w:pStyle w:val="7"/>
        <w:bidi w:val="0"/>
        <w:rPr>
          <w:rFonts w:hint="eastAsia"/>
          <w:lang w:val="en-US" w:eastAsia="zh-CN"/>
        </w:rPr>
      </w:pPr>
      <w:r>
        <w:rPr>
          <w:rFonts w:hint="eastAsia"/>
          <w:lang w:val="en-US" w:eastAsia="zh-CN"/>
        </w:rPr>
        <w:t>第二阶段：组织实施。</w:t>
      </w:r>
    </w:p>
    <w:p w14:paraId="7F6F6B84">
      <w:pPr>
        <w:bidi w:val="0"/>
        <w:rPr>
          <w:rFonts w:hint="eastAsia"/>
          <w:lang w:val="en-US" w:eastAsia="zh-CN"/>
        </w:rPr>
      </w:pPr>
      <w:r>
        <w:rPr>
          <w:rFonts w:hint="eastAsia"/>
          <w:lang w:val="en-US" w:eastAsia="zh-CN"/>
        </w:rPr>
        <w:t>（1）采集评价基础数据及相关资料</w:t>
      </w:r>
    </w:p>
    <w:p w14:paraId="6FBDF287">
      <w:pPr>
        <w:bidi w:val="0"/>
        <w:rPr>
          <w:rFonts w:hint="eastAsia"/>
          <w:lang w:val="en-US" w:eastAsia="zh-CN"/>
        </w:rPr>
      </w:pPr>
      <w:r>
        <w:rPr>
          <w:rFonts w:hint="eastAsia"/>
          <w:lang w:val="en-US" w:eastAsia="zh-CN"/>
        </w:rPr>
        <w:t>全面收集项目相关资料和基础数据，完成绩效评价内容和评价指标体系的评价印证资料。整理该项目主要采用查阅相关文件政策、会计凭证等资料，采集项目资金支出情况、项目完成情况及项目成本构成等数据资料；并通过访谈、社会调查掌握具体情况，对采集的数据做详细的分析和统计。</w:t>
      </w:r>
    </w:p>
    <w:p w14:paraId="42ED5CCD">
      <w:pPr>
        <w:bidi w:val="0"/>
        <w:rPr>
          <w:rFonts w:hint="eastAsia"/>
          <w:lang w:val="en-US" w:eastAsia="zh-CN"/>
        </w:rPr>
      </w:pPr>
      <w:r>
        <w:rPr>
          <w:rFonts w:hint="eastAsia"/>
          <w:lang w:val="en-US" w:eastAsia="zh-CN"/>
        </w:rPr>
        <w:t>（2）实地调研</w:t>
      </w:r>
    </w:p>
    <w:p w14:paraId="1CE48B4D">
      <w:pPr>
        <w:bidi w:val="0"/>
        <w:rPr>
          <w:rFonts w:hint="eastAsia"/>
          <w:lang w:val="en-US" w:eastAsia="zh-CN"/>
        </w:rPr>
      </w:pPr>
      <w:r>
        <w:rPr>
          <w:rFonts w:hint="eastAsia"/>
          <w:lang w:val="en-US" w:eastAsia="zh-CN"/>
        </w:rPr>
        <w:t>项目评价组根据项目实施过程及指标评价需求判断，针对项目进行实地调研考察，进行实地调研检查项目资金使用情况，重点关注资金使用是否存在截留、挪用财政专项资金的情况；资金支付审批情况是否合规；资金支付所需材料是否齐备；是否存在擅自改变、扩大支出范围的情况；是否存在擅自提高支出标准、虚列项目支出等情况。</w:t>
      </w:r>
    </w:p>
    <w:p w14:paraId="664DFEE8">
      <w:pPr>
        <w:pStyle w:val="7"/>
        <w:bidi w:val="0"/>
        <w:rPr>
          <w:rFonts w:hint="eastAsia"/>
          <w:lang w:val="en-US" w:eastAsia="zh-CN"/>
        </w:rPr>
      </w:pPr>
      <w:r>
        <w:rPr>
          <w:rFonts w:hint="eastAsia"/>
          <w:lang w:val="en-US" w:eastAsia="zh-CN"/>
        </w:rPr>
        <w:t>第三阶段：分析评价。</w:t>
      </w:r>
    </w:p>
    <w:p w14:paraId="03C156E1">
      <w:pPr>
        <w:bidi w:val="0"/>
        <w:rPr>
          <w:rFonts w:hint="eastAsia"/>
          <w:lang w:val="en-US" w:eastAsia="zh-CN"/>
        </w:rPr>
      </w:pPr>
      <w:r>
        <w:rPr>
          <w:rFonts w:hint="eastAsia"/>
          <w:lang w:val="en-US" w:eastAsia="zh-CN"/>
        </w:rPr>
        <w:t>一是根据所收集的资料，结合现场勘查等有关情况，整理出绩效评价所需要的基本资料和数据。二是按照确定的评价指标、评价标准和评价方法，对评价对象的绩效情况进行全面的定量定性分析和综合评价，量化评分，形成评价初步结论。</w:t>
      </w:r>
    </w:p>
    <w:p w14:paraId="5A07D2E2">
      <w:pPr>
        <w:pStyle w:val="7"/>
        <w:bidi w:val="0"/>
        <w:rPr>
          <w:rFonts w:hint="eastAsia"/>
          <w:lang w:val="en-US" w:eastAsia="zh-CN"/>
        </w:rPr>
      </w:pPr>
      <w:r>
        <w:rPr>
          <w:rFonts w:hint="eastAsia"/>
          <w:lang w:val="en-US" w:eastAsia="zh-CN"/>
        </w:rPr>
        <w:t>第四阶段：撰写报告。</w:t>
      </w:r>
    </w:p>
    <w:p w14:paraId="578A728E">
      <w:pPr>
        <w:bidi w:val="0"/>
        <w:rPr>
          <w:rFonts w:hint="eastAsia" w:ascii="方正仿宋_GBK" w:hAnsi="方正仿宋_GBK" w:eastAsia="方正仿宋_GBK" w:cs="方正仿宋_GBK"/>
          <w:color w:val="auto"/>
          <w:szCs w:val="32"/>
          <w:lang w:val="en-US" w:eastAsia="zh-CN"/>
        </w:rPr>
      </w:pPr>
      <w:r>
        <w:rPr>
          <w:rFonts w:hint="eastAsia"/>
          <w:lang w:val="en-US" w:eastAsia="zh-CN"/>
        </w:rPr>
        <w:t>归纳总结项目整体情况，分析存在具体问题，剖析问题成因，征求项目实施单位意见，并结合反馈意见，提出解决问题具体举措，并如实撰写绩效评价报告。</w:t>
      </w:r>
    </w:p>
    <w:p w14:paraId="179386FD">
      <w:pPr>
        <w:pStyle w:val="7"/>
        <w:bidi w:val="0"/>
        <w:rPr>
          <w:rFonts w:hint="eastAsia"/>
          <w:lang w:val="en-US" w:eastAsia="zh-CN"/>
        </w:rPr>
      </w:pPr>
      <w:bookmarkStart w:id="247" w:name="_Toc24278"/>
      <w:bookmarkStart w:id="248" w:name="_Toc18051"/>
      <w:bookmarkStart w:id="249" w:name="_Toc19886"/>
      <w:r>
        <w:rPr>
          <w:rFonts w:hint="eastAsia"/>
          <w:lang w:val="en-US" w:eastAsia="zh-CN"/>
        </w:rPr>
        <w:t>第五阶段：会审完善。</w:t>
      </w:r>
      <w:bookmarkEnd w:id="247"/>
      <w:bookmarkEnd w:id="248"/>
      <w:bookmarkEnd w:id="249"/>
    </w:p>
    <w:p w14:paraId="5E94124E">
      <w:pPr>
        <w:bidi w:val="0"/>
        <w:rPr>
          <w:rFonts w:hint="eastAsia"/>
          <w:lang w:val="en-US" w:eastAsia="zh-CN"/>
        </w:rPr>
      </w:pPr>
      <w:bookmarkStart w:id="250" w:name="OLE_LINK1"/>
      <w:r>
        <w:rPr>
          <w:rFonts w:hint="eastAsia"/>
          <w:lang w:val="en-US" w:eastAsia="zh-CN"/>
        </w:rPr>
        <w:t>由财政部门代表、第三方机构代表、人大代表、绩效评价专家及被评价行业专家组成评价专家组，对绩效报告真实性、合规性进行联合会审，提出修正完善意见，</w:t>
      </w:r>
      <w:bookmarkStart w:id="251" w:name="OLE_LINK2"/>
      <w:r>
        <w:rPr>
          <w:rFonts w:hint="eastAsia"/>
          <w:lang w:val="en-US" w:eastAsia="zh-CN"/>
        </w:rPr>
        <w:t>绩效评价机构</w:t>
      </w:r>
      <w:bookmarkEnd w:id="251"/>
      <w:r>
        <w:rPr>
          <w:rFonts w:hint="eastAsia"/>
          <w:lang w:val="en-US" w:eastAsia="zh-CN"/>
        </w:rPr>
        <w:t>根据会审意见，修正完善绩效评价报告。</w:t>
      </w:r>
      <w:bookmarkEnd w:id="250"/>
    </w:p>
    <w:p w14:paraId="56DFA577">
      <w:pPr>
        <w:pStyle w:val="7"/>
        <w:bidi w:val="0"/>
        <w:rPr>
          <w:rFonts w:hint="eastAsia"/>
          <w:lang w:val="en-US" w:eastAsia="zh-CN"/>
        </w:rPr>
      </w:pPr>
      <w:r>
        <w:rPr>
          <w:rFonts w:hint="eastAsia"/>
          <w:lang w:val="en-US" w:eastAsia="zh-CN"/>
        </w:rPr>
        <w:t>第六阶段：归集档案。</w:t>
      </w:r>
    </w:p>
    <w:p w14:paraId="7C8954D3">
      <w:pPr>
        <w:bidi w:val="0"/>
        <w:rPr>
          <w:rFonts w:hint="eastAsia"/>
          <w:lang w:val="en-US" w:eastAsia="zh-CN"/>
        </w:rPr>
      </w:pPr>
      <w:r>
        <w:rPr>
          <w:rFonts w:hint="eastAsia"/>
          <w:lang w:val="en-US" w:eastAsia="zh-CN"/>
        </w:rPr>
        <w:t>将项目相关资料按照一项目一存档的原则进行分类存档，包括但不限于：评价项目基本情况、项目管理文件和其他相关文件、项目绩效评价实施方案、项目支付资料及项目资产账目等相关档案。</w:t>
      </w:r>
    </w:p>
    <w:p w14:paraId="2A1FE503">
      <w:pPr>
        <w:pStyle w:val="5"/>
        <w:bidi w:val="0"/>
        <w:rPr>
          <w:rFonts w:hint="eastAsia"/>
          <w:lang w:val="en-US" w:eastAsia="zh-CN"/>
        </w:rPr>
      </w:pPr>
      <w:bookmarkStart w:id="252" w:name="_Toc8019"/>
      <w:bookmarkStart w:id="253" w:name="_Toc25949"/>
      <w:bookmarkStart w:id="254" w:name="_Toc31984"/>
      <w:bookmarkStart w:id="255" w:name="_Toc31641"/>
      <w:bookmarkStart w:id="256" w:name="_Toc23192"/>
      <w:bookmarkStart w:id="257" w:name="_Toc27789"/>
      <w:bookmarkStart w:id="258" w:name="_Toc2995"/>
      <w:r>
        <w:rPr>
          <w:rFonts w:hint="eastAsia"/>
          <w:lang w:val="en-US" w:eastAsia="zh-CN"/>
        </w:rPr>
        <w:t>三、综合评价情况及评价结论</w:t>
      </w:r>
      <w:bookmarkEnd w:id="252"/>
      <w:bookmarkEnd w:id="253"/>
      <w:bookmarkEnd w:id="254"/>
      <w:bookmarkEnd w:id="255"/>
      <w:bookmarkEnd w:id="256"/>
      <w:bookmarkEnd w:id="257"/>
      <w:bookmarkEnd w:id="258"/>
    </w:p>
    <w:bookmarkEnd w:id="236"/>
    <w:bookmarkEnd w:id="237"/>
    <w:bookmarkEnd w:id="238"/>
    <w:bookmarkEnd w:id="239"/>
    <w:bookmarkEnd w:id="240"/>
    <w:p w14:paraId="6DEB15DE">
      <w:pPr>
        <w:pStyle w:val="6"/>
        <w:bidi w:val="0"/>
        <w:rPr>
          <w:rFonts w:hint="eastAsia"/>
          <w:lang w:val="en-US" w:eastAsia="zh-CN"/>
        </w:rPr>
      </w:pPr>
      <w:bookmarkStart w:id="259" w:name="_Toc1647"/>
      <w:bookmarkStart w:id="260" w:name="_Toc25569"/>
      <w:bookmarkStart w:id="261" w:name="_Toc16831"/>
      <w:bookmarkStart w:id="262" w:name="_Toc87"/>
      <w:bookmarkStart w:id="263" w:name="_Toc107396742"/>
      <w:r>
        <w:rPr>
          <w:rFonts w:hint="eastAsia"/>
          <w:lang w:val="en-US" w:eastAsia="zh-CN"/>
        </w:rPr>
        <w:t>（一）综合评价情况</w:t>
      </w:r>
      <w:bookmarkEnd w:id="259"/>
      <w:bookmarkEnd w:id="260"/>
      <w:bookmarkEnd w:id="261"/>
      <w:bookmarkEnd w:id="262"/>
      <w:bookmarkEnd w:id="263"/>
    </w:p>
    <w:p w14:paraId="2DCF6325">
      <w:pPr>
        <w:bidi w:val="0"/>
        <w:rPr>
          <w:rFonts w:hint="eastAsia"/>
        </w:rPr>
      </w:pPr>
      <w:r>
        <w:rPr>
          <w:rFonts w:hint="eastAsia"/>
        </w:rPr>
        <w:t>项目决策方面：</w:t>
      </w:r>
      <w:r>
        <w:rPr>
          <w:rFonts w:hint="eastAsia"/>
          <w:lang w:eastAsia="zh-CN"/>
        </w:rPr>
        <w:t>项目根据</w:t>
      </w:r>
      <w:r>
        <w:rPr>
          <w:rFonts w:hint="eastAsia"/>
        </w:rPr>
        <w:t>《关于提高全区困难残疾人生活补贴和重度残疾人护理补贴标准的通知》（新民发〔2024〕53号）《关于提前下达2025年自治区财政困难残疾人生活补贴和重度残疾人护理补贴补助资金的通知》（喀地财社〔2024〕67号）文件</w:t>
      </w:r>
      <w:r>
        <w:rPr>
          <w:rFonts w:hint="eastAsia"/>
          <w:lang w:eastAsia="zh-CN"/>
        </w:rPr>
        <w:t>设立，</w:t>
      </w:r>
      <w:r>
        <w:rPr>
          <w:rFonts w:hint="eastAsia"/>
        </w:rPr>
        <w:t>立项依据充分，立项程序规范。预算编制与项目内容匹配，测算依据完整，论证充分。</w:t>
      </w:r>
    </w:p>
    <w:p w14:paraId="0725D88D">
      <w:pPr>
        <w:bidi w:val="0"/>
        <w:rPr>
          <w:rFonts w:hint="eastAsia"/>
        </w:rPr>
      </w:pPr>
      <w:r>
        <w:rPr>
          <w:rFonts w:hint="eastAsia"/>
        </w:rPr>
        <w:t>项目管理方面：该项目预算安排资金</w:t>
      </w:r>
      <w:r>
        <w:rPr>
          <w:rFonts w:hint="eastAsia"/>
          <w:lang w:val="en-US" w:eastAsia="zh-CN"/>
        </w:rPr>
        <w:t>2941</w:t>
      </w:r>
      <w:r>
        <w:rPr>
          <w:rFonts w:hint="eastAsia"/>
        </w:rPr>
        <w:t>万元，实际支出</w:t>
      </w:r>
      <w:r>
        <w:rPr>
          <w:rFonts w:hint="eastAsia"/>
          <w:lang w:val="en-US" w:eastAsia="zh-CN"/>
        </w:rPr>
        <w:t>2940.86万</w:t>
      </w:r>
      <w:r>
        <w:rPr>
          <w:rFonts w:hint="eastAsia"/>
        </w:rPr>
        <w:t>元</w:t>
      </w:r>
      <w:r>
        <w:rPr>
          <w:rFonts w:hint="eastAsia"/>
          <w:lang w:eastAsia="zh-CN"/>
        </w:rPr>
        <w:t>，</w:t>
      </w:r>
      <w:r>
        <w:rPr>
          <w:rFonts w:hint="eastAsia"/>
        </w:rPr>
        <w:t>项目预算执行率99.995%，基本全额执行</w:t>
      </w:r>
      <w:r>
        <w:rPr>
          <w:rFonts w:hint="eastAsia"/>
          <w:lang w:eastAsia="zh-CN"/>
        </w:rPr>
        <w:t>。</w:t>
      </w:r>
      <w:r>
        <w:rPr>
          <w:rFonts w:hint="eastAsia"/>
        </w:rPr>
        <w:t>项目资金使用合规，项目财务管理制度健全，财务监控到位，所有资金支付按照国库集中支付制度严格执行。</w:t>
      </w:r>
      <w:r>
        <w:rPr>
          <w:rFonts w:hint="eastAsia"/>
          <w:lang w:eastAsia="zh-CN"/>
        </w:rPr>
        <w:t>项目管理到位</w:t>
      </w:r>
      <w:r>
        <w:rPr>
          <w:rFonts w:hint="eastAsia"/>
        </w:rPr>
        <w:t>。</w:t>
      </w:r>
    </w:p>
    <w:p w14:paraId="76BBE68D">
      <w:pPr>
        <w:bidi w:val="0"/>
        <w:rPr>
          <w:rFonts w:hint="eastAsia"/>
          <w:lang w:val="en-US" w:eastAsia="zh-CN"/>
        </w:rPr>
      </w:pPr>
      <w:r>
        <w:rPr>
          <w:rFonts w:hint="eastAsia"/>
        </w:rPr>
        <w:t>项目产出方面：</w:t>
      </w:r>
      <w:r>
        <w:rPr>
          <w:rFonts w:hint="eastAsia"/>
          <w:lang w:eastAsia="zh-CN"/>
        </w:rPr>
        <w:t>项目预算资金</w:t>
      </w:r>
      <w:r>
        <w:rPr>
          <w:rFonts w:hint="eastAsia"/>
          <w:lang w:val="en-US" w:eastAsia="zh-CN"/>
        </w:rPr>
        <w:t>2941万元，截至2025年12月底，项目资金支出2940.86万元，完成全县11825名困难残疾人生活补贴和全县8771名重度残疾人护理补贴发放，标准均为120元/人/月。</w:t>
      </w:r>
    </w:p>
    <w:p w14:paraId="07FF0983">
      <w:pPr>
        <w:bidi w:val="0"/>
        <w:rPr>
          <w:rFonts w:hint="eastAsia"/>
        </w:rPr>
      </w:pPr>
      <w:r>
        <w:rPr>
          <w:rFonts w:hint="eastAsia"/>
        </w:rPr>
        <w:t>项目效益方面：</w:t>
      </w:r>
      <w:r>
        <w:rPr>
          <w:rFonts w:hint="eastAsia"/>
          <w:lang w:eastAsia="zh-CN"/>
        </w:rPr>
        <w:t>通过发放补贴，</w:t>
      </w:r>
      <w:r>
        <w:rPr>
          <w:rFonts w:hint="eastAsia"/>
          <w:lang w:val="en-US" w:eastAsia="zh-CN"/>
        </w:rPr>
        <w:t>有效提升残疾人的生活质量，改善残疾人生活条件。</w:t>
      </w:r>
    </w:p>
    <w:p w14:paraId="133B4D4B">
      <w:pPr>
        <w:pStyle w:val="6"/>
        <w:bidi w:val="0"/>
        <w:rPr>
          <w:rFonts w:hint="eastAsia"/>
          <w:lang w:val="en-US" w:eastAsia="zh-CN"/>
        </w:rPr>
      </w:pPr>
      <w:bookmarkStart w:id="264" w:name="_Toc107396743"/>
      <w:bookmarkStart w:id="265" w:name="_Toc13324"/>
      <w:bookmarkStart w:id="266" w:name="_Toc13293"/>
      <w:bookmarkStart w:id="267" w:name="_Toc26873"/>
      <w:bookmarkStart w:id="268" w:name="_Toc8590"/>
      <w:r>
        <w:rPr>
          <w:rFonts w:hint="eastAsia"/>
          <w:lang w:val="en-US" w:eastAsia="zh-CN"/>
        </w:rPr>
        <w:t>（二）综合评价结论</w:t>
      </w:r>
      <w:bookmarkEnd w:id="264"/>
      <w:bookmarkEnd w:id="265"/>
      <w:bookmarkEnd w:id="266"/>
      <w:bookmarkEnd w:id="267"/>
      <w:bookmarkEnd w:id="268"/>
    </w:p>
    <w:p w14:paraId="2DB69F32">
      <w:pPr>
        <w:bidi w:val="0"/>
        <w:rPr>
          <w:rFonts w:hint="eastAsia"/>
        </w:rPr>
      </w:pPr>
      <w:r>
        <w:rPr>
          <w:rFonts w:hint="eastAsia"/>
        </w:rPr>
        <w:t>依据《中共中央</w:t>
      </w:r>
      <w:r>
        <w:rPr>
          <w:rFonts w:hint="eastAsia"/>
          <w:lang w:eastAsia="zh-CN"/>
        </w:rPr>
        <w:t>、</w:t>
      </w:r>
      <w:r>
        <w:rPr>
          <w:rFonts w:hint="eastAsia"/>
        </w:rPr>
        <w:t>国务院关于全面实施预算绩效管理的意见》及《关于进一步加强和规范喀什地区项目支出“全过程”预算绩效管理结果应用的通知》（喀地财绩〔2022〕2号）文件，绩效评价总分设置为100分，划分为四档：90（含）-100分为优、80（含）-90分为良、</w:t>
      </w:r>
      <w:r>
        <w:rPr>
          <w:rFonts w:hint="eastAsia"/>
          <w:lang w:val="en-US" w:eastAsia="zh-CN"/>
        </w:rPr>
        <w:t>70</w:t>
      </w:r>
      <w:r>
        <w:rPr>
          <w:rFonts w:hint="eastAsia"/>
        </w:rPr>
        <w:t>（含）-80分为中、</w:t>
      </w:r>
      <w:r>
        <w:rPr>
          <w:rFonts w:hint="eastAsia"/>
          <w:lang w:val="en-US" w:eastAsia="zh-CN"/>
        </w:rPr>
        <w:t>70</w:t>
      </w:r>
      <w:r>
        <w:rPr>
          <w:rFonts w:hint="eastAsia"/>
        </w:rPr>
        <w:t>分以下为差。</w:t>
      </w:r>
    </w:p>
    <w:p w14:paraId="78E6B958">
      <w:pPr>
        <w:bidi w:val="0"/>
        <w:rPr>
          <w:rFonts w:hint="eastAsia"/>
          <w:highlight w:val="none"/>
        </w:rPr>
      </w:pPr>
      <w:r>
        <w:rPr>
          <w:rFonts w:hint="eastAsia"/>
        </w:rPr>
        <w:t>运用由项目组制订评价指标体系及评分标准，该项目最终评分</w:t>
      </w:r>
      <w:r>
        <w:rPr>
          <w:rFonts w:hint="eastAsia"/>
          <w:lang w:val="en-US" w:eastAsia="zh-CN"/>
        </w:rPr>
        <w:t>99</w:t>
      </w:r>
      <w:r>
        <w:rPr>
          <w:rFonts w:hint="eastAsia"/>
        </w:rPr>
        <w:t>分，绩效评级为“</w:t>
      </w:r>
      <w:r>
        <w:rPr>
          <w:rFonts w:hint="eastAsia"/>
          <w:lang w:eastAsia="zh-CN"/>
        </w:rPr>
        <w:t>优</w:t>
      </w:r>
      <w:r>
        <w:rPr>
          <w:rFonts w:hint="eastAsia"/>
        </w:rPr>
        <w:t>”，具体得分情况为：项目决策</w:t>
      </w:r>
      <w:r>
        <w:rPr>
          <w:rFonts w:hint="eastAsia"/>
          <w:lang w:val="en-US" w:eastAsia="zh-CN"/>
        </w:rPr>
        <w:t>20</w:t>
      </w:r>
      <w:r>
        <w:rPr>
          <w:rFonts w:hint="eastAsia"/>
        </w:rPr>
        <w:t>分、项目过程</w:t>
      </w:r>
      <w:r>
        <w:rPr>
          <w:rFonts w:hint="eastAsia"/>
          <w:lang w:val="en-US" w:eastAsia="zh-CN"/>
        </w:rPr>
        <w:t>19</w:t>
      </w:r>
      <w:r>
        <w:rPr>
          <w:rFonts w:hint="eastAsia"/>
        </w:rPr>
        <w:t>分、项目产出</w:t>
      </w:r>
      <w:r>
        <w:rPr>
          <w:rFonts w:hint="eastAsia"/>
          <w:lang w:val="en-US" w:eastAsia="zh-CN"/>
        </w:rPr>
        <w:t>40</w:t>
      </w:r>
      <w:r>
        <w:rPr>
          <w:rFonts w:hint="eastAsia"/>
        </w:rPr>
        <w:t>分、项目效益</w:t>
      </w:r>
      <w:r>
        <w:rPr>
          <w:rFonts w:hint="eastAsia"/>
          <w:lang w:val="en-US" w:eastAsia="zh-CN"/>
        </w:rPr>
        <w:t>20</w:t>
      </w:r>
      <w:r>
        <w:rPr>
          <w:rFonts w:hint="eastAsia"/>
        </w:rPr>
        <w:t>分。</w:t>
      </w:r>
    </w:p>
    <w:p w14:paraId="2584ACE6">
      <w:pPr>
        <w:bidi w:val="0"/>
        <w:rPr>
          <w:rFonts w:hint="eastAsia" w:ascii="方正楷体_GBK" w:hAnsi="方正楷体_GBK" w:eastAsia="方正楷体_GBK" w:cs="方正楷体_GBK"/>
          <w:b/>
          <w:bCs/>
          <w:sz w:val="24"/>
          <w:szCs w:val="24"/>
        </w:rPr>
      </w:pPr>
      <w:r>
        <w:rPr>
          <w:rFonts w:hint="eastAsia" w:ascii="方正楷体_GBK" w:hAnsi="方正楷体_GBK" w:eastAsia="方正楷体_GBK" w:cs="方正楷体_GBK"/>
          <w:b/>
          <w:bCs/>
          <w:sz w:val="24"/>
          <w:szCs w:val="24"/>
          <w:lang w:eastAsia="zh-CN"/>
        </w:rPr>
        <w:t>2025年莎车县困难残疾人生活补贴和重度残疾人护理补贴项目</w:t>
      </w:r>
      <w:r>
        <w:rPr>
          <w:rFonts w:hint="eastAsia" w:ascii="方正楷体_GBK" w:hAnsi="方正楷体_GBK" w:eastAsia="方正楷体_GBK" w:cs="方正楷体_GBK"/>
          <w:b/>
          <w:bCs/>
          <w:sz w:val="24"/>
          <w:szCs w:val="24"/>
        </w:rPr>
        <w:t>得分情况表</w:t>
      </w:r>
    </w:p>
    <w:tbl>
      <w:tblPr>
        <w:tblStyle w:val="15"/>
        <w:tblW w:w="5000" w:type="pct"/>
        <w:tblInd w:w="0" w:type="dxa"/>
        <w:tblLayout w:type="autofit"/>
        <w:tblCellMar>
          <w:top w:w="0" w:type="dxa"/>
          <w:left w:w="0" w:type="dxa"/>
          <w:bottom w:w="0" w:type="dxa"/>
          <w:right w:w="0" w:type="dxa"/>
        </w:tblCellMar>
      </w:tblPr>
      <w:tblGrid>
        <w:gridCol w:w="3541"/>
        <w:gridCol w:w="1771"/>
        <w:gridCol w:w="1771"/>
        <w:gridCol w:w="1771"/>
      </w:tblGrid>
      <w:tr w14:paraId="6DF66BE6">
        <w:tblPrEx>
          <w:tblCellMar>
            <w:top w:w="0" w:type="dxa"/>
            <w:left w:w="0" w:type="dxa"/>
            <w:bottom w:w="0" w:type="dxa"/>
            <w:right w:w="0"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C14410">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F5758E">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69D68">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得分率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361BB7">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实际得分</w:t>
            </w:r>
          </w:p>
        </w:tc>
      </w:tr>
      <w:tr w14:paraId="4D3762E9">
        <w:tblPrEx>
          <w:tblCellMar>
            <w:top w:w="0" w:type="dxa"/>
            <w:left w:w="0" w:type="dxa"/>
            <w:bottom w:w="0" w:type="dxa"/>
            <w:right w:w="0" w:type="dxa"/>
          </w:tblCellMar>
        </w:tblPrEx>
        <w:trPr>
          <w:trHeight w:val="400" w:hRule="atLeast"/>
        </w:trPr>
        <w:tc>
          <w:tcPr>
            <w:tcW w:w="2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D7CA85">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项目决策</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36CB5">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703AF">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sz w:val="32"/>
                <w:szCs w:val="32"/>
                <w:highlight w:val="none"/>
              </w:rPr>
              <w:t>%</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44C3A">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20</w:t>
            </w:r>
          </w:p>
        </w:tc>
      </w:tr>
      <w:tr w14:paraId="76D950B2">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39B81A">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项目过程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025D0A">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385ECB">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95</w:t>
            </w:r>
            <w:r>
              <w:rPr>
                <w:rFonts w:hint="eastAsia" w:ascii="方正仿宋_GBK" w:hAnsi="方正仿宋_GBK" w:eastAsia="方正仿宋_GBK" w:cs="方正仿宋_GBK"/>
                <w:color w:val="auto"/>
                <w:sz w:val="32"/>
                <w:szCs w:val="32"/>
                <w:highlight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4E5350">
            <w:pPr>
              <w:pStyle w:val="35"/>
              <w:keepNext w:val="0"/>
              <w:keepLines w:val="0"/>
              <w:suppressLineNumbers w:val="0"/>
              <w:spacing w:beforeAutospacing="0" w:afterAutospacing="0"/>
              <w:ind w:left="2" w:right="105" w:firstLine="110"/>
              <w:jc w:val="center"/>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19</w:t>
            </w:r>
          </w:p>
        </w:tc>
      </w:tr>
      <w:tr w14:paraId="4F149C4A">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6C1219">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项目产出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9F37A9">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472C7F">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sz w:val="32"/>
                <w:szCs w:val="32"/>
                <w:highlight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9AA45D">
            <w:pPr>
              <w:pStyle w:val="35"/>
              <w:keepNext w:val="0"/>
              <w:keepLines w:val="0"/>
              <w:suppressLineNumbers w:val="0"/>
              <w:spacing w:beforeAutospacing="0" w:afterAutospacing="0"/>
              <w:ind w:left="2" w:right="105" w:firstLine="110"/>
              <w:jc w:val="center"/>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40</w:t>
            </w:r>
          </w:p>
        </w:tc>
      </w:tr>
      <w:tr w14:paraId="24CC6BBE">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99B80E">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项目效益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BB782B">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67D461">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100</w:t>
            </w:r>
            <w:r>
              <w:rPr>
                <w:rFonts w:hint="eastAsia" w:ascii="方正仿宋_GBK" w:hAnsi="方正仿宋_GBK" w:eastAsia="方正仿宋_GBK" w:cs="方正仿宋_GBK"/>
                <w:color w:val="auto"/>
                <w:sz w:val="32"/>
                <w:szCs w:val="32"/>
                <w:highlight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C796A4">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20</w:t>
            </w:r>
          </w:p>
        </w:tc>
      </w:tr>
      <w:tr w14:paraId="7A0A0281">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20E804">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1ADE6A">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8C231A">
            <w:pPr>
              <w:pStyle w:val="35"/>
              <w:keepNext w:val="0"/>
              <w:keepLines w:val="0"/>
              <w:suppressLineNumbers w:val="0"/>
              <w:spacing w:beforeAutospacing="0" w:afterAutospacing="0"/>
              <w:ind w:left="2" w:right="105" w:firstLine="11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99</w:t>
            </w:r>
            <w:r>
              <w:rPr>
                <w:rFonts w:hint="eastAsia" w:ascii="方正仿宋_GBK" w:hAnsi="方正仿宋_GBK" w:eastAsia="方正仿宋_GBK" w:cs="方正仿宋_GBK"/>
                <w:color w:val="auto"/>
                <w:sz w:val="32"/>
                <w:szCs w:val="32"/>
                <w:highlight w:val="none"/>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C9F249">
            <w:pPr>
              <w:pStyle w:val="35"/>
              <w:keepNext w:val="0"/>
              <w:keepLines w:val="0"/>
              <w:suppressLineNumbers w:val="0"/>
              <w:spacing w:beforeAutospacing="0" w:afterAutospacing="0"/>
              <w:ind w:left="2" w:right="105" w:firstLine="110"/>
              <w:jc w:val="center"/>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99</w:t>
            </w:r>
          </w:p>
        </w:tc>
      </w:tr>
    </w:tbl>
    <w:p w14:paraId="49DF4E8E">
      <w:pPr>
        <w:pStyle w:val="5"/>
        <w:bidi w:val="0"/>
        <w:rPr>
          <w:rFonts w:hint="eastAsia"/>
          <w:lang w:val="en-US" w:eastAsia="zh-CN"/>
        </w:rPr>
      </w:pPr>
      <w:bookmarkStart w:id="269" w:name="_Toc24830"/>
      <w:bookmarkStart w:id="270" w:name="_Toc28930"/>
      <w:bookmarkStart w:id="271" w:name="_Toc21249"/>
      <w:bookmarkStart w:id="272" w:name="_Toc23299"/>
      <w:bookmarkStart w:id="273" w:name="_Toc24343"/>
      <w:bookmarkStart w:id="274" w:name="_Toc30715"/>
      <w:r>
        <w:rPr>
          <w:rFonts w:hint="eastAsia"/>
          <w:lang w:val="en-US" w:eastAsia="zh-CN"/>
        </w:rPr>
        <w:t>四、绩效评价指标分析</w:t>
      </w:r>
      <w:bookmarkEnd w:id="269"/>
      <w:bookmarkEnd w:id="270"/>
      <w:bookmarkEnd w:id="271"/>
      <w:bookmarkEnd w:id="272"/>
      <w:bookmarkEnd w:id="273"/>
      <w:bookmarkEnd w:id="274"/>
    </w:p>
    <w:p w14:paraId="2C00DCEF">
      <w:pPr>
        <w:pStyle w:val="6"/>
        <w:bidi w:val="0"/>
        <w:rPr>
          <w:rFonts w:hint="eastAsia"/>
          <w:lang w:val="en-US" w:eastAsia="zh-CN"/>
        </w:rPr>
      </w:pPr>
      <w:bookmarkStart w:id="275" w:name="_Toc32474"/>
      <w:bookmarkStart w:id="276" w:name="_Toc27170"/>
      <w:bookmarkStart w:id="277" w:name="_Toc1046"/>
      <w:bookmarkStart w:id="278" w:name="_Toc13182"/>
      <w:bookmarkStart w:id="279" w:name="_Toc18470"/>
      <w:bookmarkStart w:id="280" w:name="_Toc4052"/>
      <w:bookmarkStart w:id="281" w:name="_Toc68364668"/>
      <w:r>
        <w:rPr>
          <w:rFonts w:hint="eastAsia"/>
          <w:lang w:val="en-US" w:eastAsia="zh-CN"/>
        </w:rPr>
        <w:t>（一）项目决策情况</w:t>
      </w:r>
      <w:bookmarkEnd w:id="275"/>
      <w:bookmarkEnd w:id="276"/>
      <w:bookmarkEnd w:id="277"/>
      <w:bookmarkEnd w:id="278"/>
      <w:bookmarkEnd w:id="279"/>
      <w:bookmarkEnd w:id="280"/>
    </w:p>
    <w:p w14:paraId="64FD714C">
      <w:pPr>
        <w:bidi w:val="0"/>
        <w:rPr>
          <w:rFonts w:hint="eastAsia"/>
          <w:lang w:val="en-US" w:eastAsia="zh-CN"/>
        </w:rPr>
      </w:pPr>
      <w:r>
        <w:rPr>
          <w:rFonts w:hint="eastAsia"/>
          <w:lang w:val="en-US" w:eastAsia="zh-CN"/>
        </w:rPr>
        <w:t>项目决策类指标包括项目立项、绩效目标和资金投入三方面的内容，由6个三级指标构成，权重分为20分，实际得分20分，得分率为100%。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15"/>
        <w:gridCol w:w="2215"/>
        <w:gridCol w:w="2216"/>
        <w:gridCol w:w="2218"/>
      </w:tblGrid>
      <w:tr w14:paraId="693E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714D74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rPr>
              <w:t>三级指标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BE589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D8E878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2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913671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7E5AA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215" w:type="dxa"/>
            <w:tcBorders>
              <w:top w:val="single" w:color="000000" w:sz="4" w:space="0"/>
              <w:left w:val="single" w:color="000000" w:sz="4" w:space="0"/>
              <w:bottom w:val="nil"/>
              <w:right w:val="single" w:color="000000" w:sz="4" w:space="0"/>
            </w:tcBorders>
            <w:shd w:val="clear" w:color="auto" w:fill="FFFFFF"/>
            <w:noWrap/>
            <w:tcMar>
              <w:top w:w="12" w:type="dxa"/>
              <w:left w:w="12" w:type="dxa"/>
              <w:right w:w="12" w:type="dxa"/>
            </w:tcMar>
            <w:vAlign w:val="center"/>
          </w:tcPr>
          <w:p w14:paraId="6859FBE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立项依据充分性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689EB0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F89373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8367C8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3</w:t>
            </w:r>
          </w:p>
        </w:tc>
      </w:tr>
      <w:tr w14:paraId="55FA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BD2AE8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立项程序规范性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ADEED5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541D2C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4EE47A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38E6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8D9CE6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绩效目标合理性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CD360A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372243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5E29AB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3</w:t>
            </w:r>
          </w:p>
        </w:tc>
      </w:tr>
      <w:tr w14:paraId="6B48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6A4B4A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绩效指标明确性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379DE0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E0E1F0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9CCD68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58BD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5F216D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预算编制科学性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5460F7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EEBD16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F85D49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276C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A139E5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资金分配合理性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51437A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F78F82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C3DF76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743B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7CC975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4B5FBA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CDA57F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D4915A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20</w:t>
            </w:r>
          </w:p>
        </w:tc>
      </w:tr>
    </w:tbl>
    <w:p w14:paraId="213D2F67">
      <w:pPr>
        <w:bidi w:val="0"/>
        <w:rPr>
          <w:rFonts w:hint="eastAsia"/>
          <w:lang w:val="en-US" w:eastAsia="zh-CN"/>
        </w:rPr>
      </w:pPr>
      <w:r>
        <w:rPr>
          <w:rFonts w:hint="eastAsia"/>
          <w:lang w:val="en-US" w:eastAsia="zh-CN"/>
        </w:rPr>
        <w:t>（1）立项依据充分性：该项目依据《关于建立困难残疾人生活补贴和重度残疾人护理补贴制度的实施意见》（新政发〔2016〕44号）文件《关于提高全区困难残疾人生活补贴和重度残疾人护理补贴标准的通知》（新民发〔2024〕53号）《关于提前下达2025年自治区财政困难残疾人生活补贴和重度残疾人护理补贴补助资金的通知》（喀地财社〔2024〕67号）文件设立实施；该项目立项符合国家法律法规、国民经济发展规划，符合国务院印发《关于全面建立困难残疾人生活补贴和重度残疾人护理补贴制度的意见》（国发〔2015〕52号）文件，明确提出全面建立残疾人两项补贴制度，是保障残疾人生存发展权益、加快推进残疾人小康进程的核心举措，要求各地立足残疾人需求，完善残疾人社会保障体系，切实解决残疾人特殊生活困难和长期照护难题；该项目立项符合民政部、财政部、中国残联联合出台《关于进一步完善困难残疾人生活补贴和重度残疾人护理补贴制度的意见》（民发〔2021〕70号）文件，进一步细化制度完善要求，健全补贴对象覆盖、标准动态调整、申领流程优化等机制，推动两项补贴制度高质量发展，增进残疾人福祉，</w:t>
      </w:r>
      <w:r>
        <w:rPr>
          <w:rFonts w:hint="eastAsia"/>
        </w:rPr>
        <w:t>符合行业发展规划和政策要求</w:t>
      </w:r>
      <w:r>
        <w:rPr>
          <w:rFonts w:hint="eastAsia"/>
          <w:lang w:val="en-US" w:eastAsia="zh-CN"/>
        </w:rPr>
        <w:t>；该项目立项符合《莎车县民政局配置内设机构和人员编制规定》中职责范围中的“贯彻落实有关残疾人权益保护政策，统筹推进残疾人福利制度建设和康复辅助器具产业发展”，项目立项与莎车县民政局部门职责范围相符，属于莎车县民政局履职所需。</w:t>
      </w:r>
    </w:p>
    <w:p w14:paraId="2F70A8B6">
      <w:pPr>
        <w:bidi w:val="0"/>
        <w:rPr>
          <w:rFonts w:hint="eastAsia"/>
          <w:lang w:val="en-US" w:eastAsia="zh-CN"/>
        </w:rPr>
      </w:pPr>
      <w:r>
        <w:rPr>
          <w:rFonts w:hint="eastAsia"/>
          <w:lang w:val="en-US" w:eastAsia="zh-CN"/>
        </w:rPr>
        <w:t>综上所述，该项目立项依据充分，根据评分标准，该指标不扣分，得3分。</w:t>
      </w:r>
    </w:p>
    <w:p w14:paraId="2A4FF600">
      <w:pPr>
        <w:bidi w:val="0"/>
        <w:rPr>
          <w:rFonts w:hint="eastAsia"/>
          <w:lang w:val="en-US" w:eastAsia="zh-CN"/>
        </w:rPr>
      </w:pPr>
      <w:r>
        <w:rPr>
          <w:rFonts w:hint="eastAsia"/>
          <w:lang w:val="en-US" w:eastAsia="zh-CN"/>
        </w:rPr>
        <w:t>（2）立项程序规范性：该</w:t>
      </w:r>
      <w:r>
        <w:rPr>
          <w:rFonts w:hint="eastAsia"/>
        </w:rPr>
        <w:t>项目为非基础建设类项目，不涉及发改立项批复流程，由</w:t>
      </w:r>
      <w:r>
        <w:rPr>
          <w:rFonts w:hint="eastAsia"/>
          <w:lang w:eastAsia="zh-CN"/>
        </w:rPr>
        <w:t>莎车县民政局</w:t>
      </w:r>
      <w:r>
        <w:rPr>
          <w:rFonts w:hint="eastAsia"/>
        </w:rPr>
        <w:t>自行编制项目实施方案和项目预算申请计划</w:t>
      </w:r>
      <w:r>
        <w:rPr>
          <w:rFonts w:hint="eastAsia"/>
          <w:lang w:eastAsia="zh-CN"/>
        </w:rPr>
        <w:t>；</w:t>
      </w:r>
      <w:r>
        <w:rPr>
          <w:rFonts w:hint="eastAsia"/>
        </w:rPr>
        <w:t>经查看，</w:t>
      </w:r>
      <w:r>
        <w:rPr>
          <w:rFonts w:hint="eastAsia"/>
          <w:lang w:eastAsia="zh-CN"/>
        </w:rPr>
        <w:t>该</w:t>
      </w:r>
      <w:r>
        <w:rPr>
          <w:rFonts w:hint="eastAsia"/>
        </w:rPr>
        <w:t>项目申请设立过</w:t>
      </w:r>
      <w:r>
        <w:rPr>
          <w:rFonts w:hint="eastAsia"/>
          <w:lang w:eastAsia="zh-CN"/>
        </w:rPr>
        <w:t>程中</w:t>
      </w:r>
      <w:r>
        <w:rPr>
          <w:rFonts w:hint="eastAsia"/>
        </w:rPr>
        <w:t>产生的相关文件，符合相关要求。</w:t>
      </w:r>
      <w:r>
        <w:rPr>
          <w:rFonts w:hint="eastAsia"/>
          <w:lang w:eastAsia="zh-CN"/>
        </w:rPr>
        <w:t>该项目属于专项资金安排项目，</w:t>
      </w:r>
      <w:r>
        <w:rPr>
          <w:rFonts w:hint="eastAsia"/>
        </w:rPr>
        <w:t>由</w:t>
      </w:r>
      <w:r>
        <w:rPr>
          <w:rFonts w:hint="eastAsia"/>
          <w:lang w:eastAsia="zh-CN"/>
        </w:rPr>
        <w:t>莎车县民政局</w:t>
      </w:r>
      <w:r>
        <w:rPr>
          <w:rFonts w:hint="eastAsia"/>
        </w:rPr>
        <w:t>严格按照《关于提高全区困难残疾人生活补贴和重度残疾人护理补贴标准的通知》（新民发〔2024〕53号</w:t>
      </w:r>
      <w:r>
        <w:rPr>
          <w:rFonts w:hint="eastAsia"/>
          <w:lang w:eastAsia="zh-CN"/>
        </w:rPr>
        <w:t>）和</w:t>
      </w:r>
      <w:r>
        <w:rPr>
          <w:rFonts w:hint="eastAsia"/>
        </w:rPr>
        <w:t>《关于提前下达2025年自治区财政困难残疾人生活补贴和重度残疾人护理补贴补助资金的通知》（喀地财社〔2024〕67号）文件要求实</w:t>
      </w:r>
      <w:r>
        <w:rPr>
          <w:rFonts w:hint="eastAsia"/>
          <w:lang w:val="en-US" w:eastAsia="zh-CN"/>
        </w:rPr>
        <w:t>施</w:t>
      </w:r>
      <w:r>
        <w:rPr>
          <w:rFonts w:hint="eastAsia"/>
          <w:lang w:eastAsia="zh-CN"/>
        </w:rPr>
        <w:t>，</w:t>
      </w:r>
      <w:r>
        <w:rPr>
          <w:rFonts w:hint="eastAsia"/>
          <w:lang w:val="en-US" w:eastAsia="zh-CN"/>
        </w:rPr>
        <w:t>根据决策依据编制工作计划和经费预算，经过与各部门县政府分管领导进行沟通、筛选确定经费预算计划，上党委会研究确定最终预算方案，由莎车县民政局制定方案提出申请，经地区审核批准后实施。</w:t>
      </w:r>
    </w:p>
    <w:p w14:paraId="0AFCBCA5">
      <w:pPr>
        <w:bidi w:val="0"/>
        <w:rPr>
          <w:rFonts w:hint="eastAsia"/>
          <w:lang w:val="en-US" w:eastAsia="zh-CN"/>
        </w:rPr>
      </w:pPr>
      <w:r>
        <w:rPr>
          <w:rFonts w:hint="eastAsia"/>
          <w:lang w:val="en-US" w:eastAsia="zh-CN"/>
        </w:rPr>
        <w:t>综上所述，该项目立项程序规范，根据评分标准，该指标不扣分，得2分。</w:t>
      </w:r>
    </w:p>
    <w:p w14:paraId="7FE90A23">
      <w:pPr>
        <w:bidi w:val="0"/>
        <w:rPr>
          <w:rFonts w:hint="eastAsia"/>
          <w:lang w:val="en-US" w:eastAsia="zh-CN"/>
        </w:rPr>
      </w:pPr>
      <w:r>
        <w:rPr>
          <w:rFonts w:hint="eastAsia"/>
          <w:lang w:val="en-US" w:eastAsia="zh-CN"/>
        </w:rPr>
        <w:t>（3）绩效目标合理性：该项目工作任务目标明确，制定了2025年莎车县困难残疾人生活补贴和重度残疾人护理补贴项目实施方案，该</w:t>
      </w:r>
      <w:r>
        <w:rPr>
          <w:rFonts w:hint="eastAsia"/>
        </w:rPr>
        <w:t>项目已设置年度绩效目标</w:t>
      </w:r>
      <w:r>
        <w:rPr>
          <w:rFonts w:hint="eastAsia"/>
          <w:lang w:eastAsia="zh-CN"/>
        </w:rPr>
        <w:t>，具体内容为“项目预算总额2941万元，其中：自治区资金2941万元，用于发放全县11825名残疾人生活补贴和8771名重度残疾人护理补贴，补助标准均为120元/人/月，补助人员身份审核合格率达到100%，提升残疾人的生活质量”；</w:t>
      </w:r>
      <w:r>
        <w:rPr>
          <w:rFonts w:hint="eastAsia"/>
          <w:lang w:val="en-US" w:eastAsia="zh-CN"/>
        </w:rPr>
        <w:t>明确了总体思路及目标、并对任务进行了详细分解，对目标进行了细化</w:t>
      </w:r>
      <w:r>
        <w:rPr>
          <w:rFonts w:hint="eastAsia"/>
          <w:lang w:eastAsia="zh-CN"/>
        </w:rPr>
        <w:t>；该</w:t>
      </w:r>
      <w:r>
        <w:rPr>
          <w:rFonts w:hint="eastAsia"/>
        </w:rPr>
        <w:t>项目实际工作为</w:t>
      </w:r>
      <w:r>
        <w:rPr>
          <w:rFonts w:hint="eastAsia"/>
          <w:lang w:eastAsia="zh-CN"/>
        </w:rPr>
        <w:t>：截至</w:t>
      </w:r>
      <w:r>
        <w:rPr>
          <w:rFonts w:hint="eastAsia"/>
          <w:lang w:val="en-US" w:eastAsia="zh-CN"/>
        </w:rPr>
        <w:t>2025年12月31日，</w:t>
      </w:r>
      <w:r>
        <w:rPr>
          <w:rFonts w:hint="eastAsia"/>
          <w:lang w:eastAsia="zh-CN"/>
        </w:rPr>
        <w:t>项目已支付2940.86万元，资金执行率为</w:t>
      </w:r>
      <w:r>
        <w:rPr>
          <w:rFonts w:hint="eastAsia"/>
          <w:lang w:val="en-US" w:eastAsia="zh-CN"/>
        </w:rPr>
        <w:t>99.995</w:t>
      </w:r>
      <w:r>
        <w:rPr>
          <w:rFonts w:hint="eastAsia"/>
          <w:lang w:eastAsia="zh-CN"/>
        </w:rPr>
        <w:t>%，基本全额执行，保障37个乡镇11825名困难残疾人12个月生活补贴和8771名重度残疾人12个月护理补贴，补助人员身份均符合相关规定，已按规定于每月15日前发放补助资金，项目实施有效提升了残疾人的生活质量；该</w:t>
      </w:r>
      <w:r>
        <w:rPr>
          <w:rFonts w:hint="eastAsia"/>
        </w:rPr>
        <w:t>项目按照绩效目标完成数量指标、质量指标、时效指标、成本指标，确保了符合领取条件的</w:t>
      </w:r>
      <w:r>
        <w:rPr>
          <w:rFonts w:hint="eastAsia"/>
          <w:lang w:eastAsia="zh-CN"/>
        </w:rPr>
        <w:t>残疾人</w:t>
      </w:r>
      <w:r>
        <w:rPr>
          <w:rFonts w:hint="eastAsia"/>
        </w:rPr>
        <w:t>能够按时足额领取补助资金，</w:t>
      </w:r>
      <w:r>
        <w:rPr>
          <w:rFonts w:hint="eastAsia"/>
          <w:lang w:eastAsia="zh-CN"/>
        </w:rPr>
        <w:t>提升了残疾人的生活质量，</w:t>
      </w:r>
      <w:r>
        <w:rPr>
          <w:rFonts w:hint="eastAsia"/>
        </w:rPr>
        <w:t>年度绩效目标完成，预期产出效益和效果符合正常的业绩水平</w:t>
      </w:r>
      <w:r>
        <w:rPr>
          <w:rFonts w:hint="eastAsia"/>
          <w:lang w:val="en-US" w:eastAsia="zh-CN"/>
        </w:rPr>
        <w:t>。</w:t>
      </w:r>
    </w:p>
    <w:p w14:paraId="11554B62">
      <w:pPr>
        <w:bidi w:val="0"/>
        <w:rPr>
          <w:rFonts w:hint="eastAsia"/>
          <w:lang w:val="en-US" w:eastAsia="zh-CN"/>
        </w:rPr>
      </w:pPr>
      <w:r>
        <w:rPr>
          <w:rFonts w:hint="eastAsia"/>
          <w:lang w:val="en-US" w:eastAsia="zh-CN"/>
        </w:rPr>
        <w:t>综上所述，该项目绩效目标设置合理，根据评分标准，该指标不扣分，得3分。</w:t>
      </w:r>
    </w:p>
    <w:p w14:paraId="07C40201">
      <w:pPr>
        <w:bidi w:val="0"/>
        <w:rPr>
          <w:rFonts w:hint="eastAsia"/>
          <w:lang w:val="en-US" w:eastAsia="zh-CN"/>
        </w:rPr>
      </w:pPr>
      <w:r>
        <w:rPr>
          <w:rFonts w:hint="eastAsia"/>
          <w:lang w:val="en-US" w:eastAsia="zh-CN"/>
        </w:rPr>
        <w:t>（4）绩效指标明确性：得出如下结论，该</w:t>
      </w:r>
      <w:r>
        <w:rPr>
          <w:rFonts w:hint="eastAsia"/>
        </w:rPr>
        <w:t>项目已将年度绩效目标进行细化为绩效指标体系，共设置一级指标</w:t>
      </w:r>
      <w:r>
        <w:rPr>
          <w:rFonts w:hint="eastAsia"/>
          <w:lang w:val="en-US" w:eastAsia="zh-CN"/>
        </w:rPr>
        <w:t>4</w:t>
      </w:r>
      <w:r>
        <w:rPr>
          <w:rFonts w:hint="eastAsia"/>
        </w:rPr>
        <w:t>个，二级指标</w:t>
      </w:r>
      <w:r>
        <w:rPr>
          <w:rFonts w:hint="eastAsia"/>
          <w:lang w:val="en-US" w:eastAsia="zh-CN"/>
        </w:rPr>
        <w:t>6</w:t>
      </w:r>
      <w:r>
        <w:rPr>
          <w:rFonts w:hint="eastAsia"/>
        </w:rPr>
        <w:t>个，三级指标</w:t>
      </w:r>
      <w:r>
        <w:rPr>
          <w:rFonts w:hint="eastAsia"/>
          <w:lang w:val="en-US" w:eastAsia="zh-CN"/>
        </w:rPr>
        <w:t>9</w:t>
      </w:r>
      <w:r>
        <w:rPr>
          <w:rFonts w:hint="eastAsia"/>
        </w:rPr>
        <w:t>个，定量指标</w:t>
      </w:r>
      <w:r>
        <w:rPr>
          <w:rFonts w:hint="eastAsia"/>
          <w:lang w:val="en-US" w:eastAsia="zh-CN"/>
        </w:rPr>
        <w:t>7</w:t>
      </w:r>
      <w:r>
        <w:rPr>
          <w:rFonts w:hint="eastAsia"/>
        </w:rPr>
        <w:t>个，定性指标</w:t>
      </w:r>
      <w:r>
        <w:rPr>
          <w:rFonts w:hint="eastAsia"/>
          <w:lang w:val="en-US" w:eastAsia="zh-CN"/>
        </w:rPr>
        <w:t>2</w:t>
      </w:r>
      <w:r>
        <w:rPr>
          <w:rFonts w:hint="eastAsia"/>
        </w:rPr>
        <w:t>个，指标量化率为</w:t>
      </w:r>
      <w:r>
        <w:rPr>
          <w:rFonts w:hint="eastAsia"/>
          <w:lang w:val="en-US" w:eastAsia="zh-CN"/>
        </w:rPr>
        <w:t>77.78</w:t>
      </w:r>
      <w:r>
        <w:rPr>
          <w:rFonts w:hint="eastAsia"/>
        </w:rPr>
        <w:t>%，量化率达70.00%。</w:t>
      </w:r>
      <w:r>
        <w:rPr>
          <w:rFonts w:hint="eastAsia"/>
          <w:lang w:eastAsia="zh-CN"/>
        </w:rPr>
        <w:t>莎车县民政局已将该项目</w:t>
      </w:r>
      <w:r>
        <w:rPr>
          <w:rFonts w:hint="eastAsia"/>
          <w:lang w:val="en-US" w:eastAsia="zh-CN"/>
        </w:rPr>
        <w:t>核心内容细化分解为具体的绩效指标，绩效指标明确。</w:t>
      </w:r>
    </w:p>
    <w:p w14:paraId="7E02844A">
      <w:pPr>
        <w:bidi w:val="0"/>
        <w:rPr>
          <w:rFonts w:hint="eastAsia"/>
          <w:lang w:val="en-US" w:eastAsia="zh-CN"/>
        </w:rPr>
      </w:pPr>
      <w:r>
        <w:rPr>
          <w:rFonts w:hint="eastAsia"/>
          <w:lang w:val="en-US" w:eastAsia="zh-CN"/>
        </w:rPr>
        <w:t>综上所述，该项目所设置绩效指标明确，根据评分标准，该指标不扣分，得2分。</w:t>
      </w:r>
    </w:p>
    <w:p w14:paraId="6A8F2B56">
      <w:pPr>
        <w:bidi w:val="0"/>
        <w:rPr>
          <w:rFonts w:hint="eastAsia"/>
          <w:lang w:val="en-US" w:eastAsia="zh-CN"/>
        </w:rPr>
      </w:pPr>
      <w:r>
        <w:rPr>
          <w:rFonts w:hint="eastAsia"/>
          <w:lang w:val="en-US" w:eastAsia="zh-CN"/>
        </w:rPr>
        <w:t>（5）预算编制科学性：通过查看项目预算编制草案，该</w:t>
      </w:r>
      <w:r>
        <w:rPr>
          <w:rFonts w:hint="eastAsia"/>
        </w:rPr>
        <w:t>项目预算编制根据自治区补助标准，结合上年度数据安排预算</w:t>
      </w:r>
      <w:r>
        <w:rPr>
          <w:rFonts w:hint="eastAsia"/>
          <w:lang w:eastAsia="zh-CN"/>
        </w:rPr>
        <w:t>资金</w:t>
      </w:r>
      <w:r>
        <w:rPr>
          <w:rFonts w:hint="eastAsia"/>
          <w:lang w:val="en-US" w:eastAsia="zh-CN"/>
        </w:rPr>
        <w:t>2941万元</w:t>
      </w:r>
      <w:r>
        <w:rPr>
          <w:rFonts w:hint="eastAsia"/>
        </w:rPr>
        <w:t>，预算编制较科学且经过论证</w:t>
      </w:r>
      <w:r>
        <w:rPr>
          <w:rFonts w:hint="eastAsia"/>
          <w:lang w:val="en-US" w:eastAsia="zh-CN"/>
        </w:rPr>
        <w:t>；该项目预算申请内容为</w:t>
      </w:r>
      <w:r>
        <w:rPr>
          <w:rFonts w:hint="eastAsia"/>
          <w:lang w:eastAsia="zh-CN"/>
        </w:rPr>
        <w:t>对符合条件的困难残疾人和重度残疾人按月发放补助资金；项目实际内容为按月支付困难残疾人生活补贴、重度残疾人护理补贴，</w:t>
      </w:r>
      <w:r>
        <w:rPr>
          <w:rFonts w:hint="eastAsia"/>
        </w:rPr>
        <w:t>预算申请与</w:t>
      </w:r>
      <w:r>
        <w:rPr>
          <w:rFonts w:hint="eastAsia"/>
          <w:lang w:eastAsia="zh-CN"/>
        </w:rPr>
        <w:t>《2025年莎车县困难残疾人生活补贴和重度残疾人护理补贴项目实施方案》</w:t>
      </w:r>
      <w:r>
        <w:rPr>
          <w:rFonts w:hint="eastAsia"/>
        </w:rPr>
        <w:t>中涉及的项目内容匹配</w:t>
      </w:r>
      <w:r>
        <w:rPr>
          <w:rFonts w:hint="eastAsia"/>
          <w:lang w:eastAsia="zh-CN"/>
        </w:rPr>
        <w:t>；</w:t>
      </w:r>
      <w:r>
        <w:rPr>
          <w:rFonts w:hint="eastAsia"/>
          <w:lang w:val="en-US" w:eastAsia="zh-CN"/>
        </w:rPr>
        <w:t>该项目预算编制经过科学论证，内容与项目内容匹配，项目投资额与工作任务相匹配。</w:t>
      </w:r>
    </w:p>
    <w:p w14:paraId="2771FF49">
      <w:pPr>
        <w:bidi w:val="0"/>
        <w:rPr>
          <w:rFonts w:hint="eastAsia"/>
          <w:lang w:val="en-US" w:eastAsia="zh-CN"/>
        </w:rPr>
      </w:pPr>
      <w:r>
        <w:rPr>
          <w:rFonts w:hint="eastAsia"/>
          <w:lang w:val="en-US" w:eastAsia="zh-CN"/>
        </w:rPr>
        <w:t>综上所述，该项目预算编制经过科学论证，根据评分标准，该指标不扣分，得5分。</w:t>
      </w:r>
    </w:p>
    <w:p w14:paraId="3B6246CD">
      <w:pPr>
        <w:bidi w:val="0"/>
        <w:rPr>
          <w:rFonts w:hint="eastAsia"/>
          <w:lang w:val="en-US" w:eastAsia="zh-CN"/>
        </w:rPr>
      </w:pPr>
      <w:r>
        <w:rPr>
          <w:rFonts w:hint="eastAsia"/>
          <w:lang w:val="en-US" w:eastAsia="zh-CN"/>
        </w:rPr>
        <w:t>（6）资金分配合理性：</w:t>
      </w:r>
      <w:r>
        <w:rPr>
          <w:rFonts w:hint="eastAsia"/>
          <w:lang w:eastAsia="zh-CN"/>
        </w:rPr>
        <w:t>该</w:t>
      </w:r>
      <w:r>
        <w:rPr>
          <w:rFonts w:hint="eastAsia"/>
        </w:rPr>
        <w:t>项目实际分配资金以自治区补助标准，结合上年度数据安排预算</w:t>
      </w:r>
      <w:r>
        <w:rPr>
          <w:rFonts w:hint="eastAsia"/>
          <w:lang w:eastAsia="zh-CN"/>
        </w:rPr>
        <w:t>，根据</w:t>
      </w:r>
      <w:r>
        <w:rPr>
          <w:rFonts w:hint="eastAsia"/>
        </w:rPr>
        <w:t>《关于提高全区困难残疾人生活补贴和重度残疾人护理补贴标准的通知》（新民发〔2024〕53号）《关于提前下达2025年自治区财政困难残疾人生活补贴和重度残疾人护理补贴补助资金的通知》（喀地财社〔2024〕67号）文件为依据，预算资金分配依据充分。根据财政综合管理信息系统指标额度显示，</w:t>
      </w:r>
      <w:r>
        <w:rPr>
          <w:rFonts w:hint="eastAsia"/>
          <w:lang w:eastAsia="zh-CN"/>
        </w:rPr>
        <w:t>该</w:t>
      </w:r>
      <w:r>
        <w:rPr>
          <w:rFonts w:hint="eastAsia"/>
        </w:rPr>
        <w:t>项目实际到位资金</w:t>
      </w:r>
      <w:r>
        <w:rPr>
          <w:rFonts w:hint="eastAsia"/>
          <w:lang w:val="en-US" w:eastAsia="zh-CN"/>
        </w:rPr>
        <w:t>2941</w:t>
      </w:r>
      <w:r>
        <w:rPr>
          <w:rFonts w:hint="eastAsia"/>
        </w:rPr>
        <w:t>万元，实际分配资金与</w:t>
      </w:r>
      <w:r>
        <w:rPr>
          <w:rFonts w:hint="eastAsia"/>
          <w:lang w:eastAsia="zh-CN"/>
        </w:rPr>
        <w:t>莎车县民政局</w:t>
      </w:r>
      <w:r>
        <w:rPr>
          <w:rFonts w:hint="eastAsia"/>
        </w:rPr>
        <w:t>提交申请的资金额度一致，资金分配额度合理，与</w:t>
      </w:r>
      <w:r>
        <w:rPr>
          <w:rFonts w:hint="eastAsia"/>
          <w:lang w:eastAsia="zh-CN"/>
        </w:rPr>
        <w:t>莎车县民政局</w:t>
      </w:r>
      <w:r>
        <w:rPr>
          <w:rFonts w:hint="eastAsia"/>
        </w:rPr>
        <w:t>实际需求相适应。</w:t>
      </w:r>
      <w:r>
        <w:rPr>
          <w:rFonts w:hint="eastAsia"/>
          <w:lang w:eastAsia="zh-CN"/>
        </w:rPr>
        <w:t>该</w:t>
      </w:r>
      <w:r>
        <w:rPr>
          <w:rFonts w:hint="eastAsia"/>
        </w:rPr>
        <w:t>项目资金分配合理</w:t>
      </w:r>
      <w:r>
        <w:rPr>
          <w:rFonts w:hint="eastAsia"/>
          <w:lang w:val="en-US" w:eastAsia="zh-CN"/>
        </w:rPr>
        <w:t>，项目资金预算草案由莎车县</w:t>
      </w:r>
      <w:r>
        <w:rPr>
          <w:rFonts w:hint="eastAsia"/>
          <w:lang w:eastAsia="zh-CN"/>
        </w:rPr>
        <w:t>民政局</w:t>
      </w:r>
      <w:r>
        <w:rPr>
          <w:rFonts w:hint="eastAsia"/>
          <w:lang w:val="en-US" w:eastAsia="zh-CN"/>
        </w:rPr>
        <w:t>制定，地区审核，资金分配与实际相适应。</w:t>
      </w:r>
    </w:p>
    <w:p w14:paraId="148026EC">
      <w:pPr>
        <w:bidi w:val="0"/>
        <w:rPr>
          <w:rFonts w:hint="eastAsia"/>
          <w:lang w:val="en-US" w:eastAsia="zh-CN"/>
        </w:rPr>
      </w:pPr>
      <w:r>
        <w:rPr>
          <w:rFonts w:hint="eastAsia"/>
          <w:lang w:val="en-US" w:eastAsia="zh-CN"/>
        </w:rPr>
        <w:t>综上所述，该项目资金分配合理，根据评分标准，该指标不扣分，得5分。</w:t>
      </w:r>
    </w:p>
    <w:p w14:paraId="3F6745C6">
      <w:pPr>
        <w:pStyle w:val="6"/>
        <w:bidi w:val="0"/>
        <w:rPr>
          <w:rFonts w:hint="eastAsia"/>
          <w:lang w:val="en-US" w:eastAsia="zh-CN"/>
        </w:rPr>
      </w:pPr>
      <w:bookmarkStart w:id="282" w:name="_Toc779"/>
      <w:bookmarkStart w:id="283" w:name="_Toc18007"/>
      <w:bookmarkStart w:id="284" w:name="_Toc32052"/>
      <w:bookmarkStart w:id="285" w:name="_Toc29621"/>
      <w:bookmarkStart w:id="286" w:name="_Toc7253"/>
      <w:bookmarkStart w:id="287" w:name="_Toc9805"/>
      <w:r>
        <w:rPr>
          <w:rFonts w:hint="eastAsia"/>
          <w:lang w:val="en-US" w:eastAsia="zh-CN"/>
        </w:rPr>
        <w:t>（二）项目过程情况</w:t>
      </w:r>
      <w:bookmarkEnd w:id="282"/>
      <w:bookmarkEnd w:id="283"/>
      <w:bookmarkEnd w:id="284"/>
      <w:bookmarkEnd w:id="285"/>
      <w:bookmarkEnd w:id="286"/>
      <w:bookmarkEnd w:id="287"/>
    </w:p>
    <w:p w14:paraId="164DFA46">
      <w:pPr>
        <w:bidi w:val="0"/>
        <w:rPr>
          <w:rFonts w:hint="eastAsia"/>
          <w:lang w:val="en-US" w:eastAsia="zh-CN"/>
        </w:rPr>
      </w:pPr>
      <w:r>
        <w:rPr>
          <w:rFonts w:hint="eastAsia"/>
          <w:lang w:val="en-US" w:eastAsia="zh-CN"/>
        </w:rPr>
        <w:t>项目过程类指标包括资金管理和组织实施两方面的内容，由5个三级指标构成，权重分为20分，实际得分19分，得分率为95%。</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32"/>
        <w:gridCol w:w="2110"/>
        <w:gridCol w:w="2110"/>
        <w:gridCol w:w="2111"/>
      </w:tblGrid>
      <w:tr w14:paraId="1F14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C8440C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cs="方正仿宋_GBK"/>
                <w:color w:val="auto"/>
                <w:lang w:eastAsia="zh-CN"/>
              </w:rPr>
              <w:t>三</w:t>
            </w:r>
            <w:r>
              <w:rPr>
                <w:rFonts w:hint="eastAsia" w:ascii="Times New Roman" w:hAnsi="方正仿宋_GBK" w:eastAsia="方正仿宋_GBK" w:cs="方正仿宋_GBK"/>
                <w:color w:val="auto"/>
              </w:rPr>
              <w:t>级指标</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FCDDEC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D5EB02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AD15C5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24640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E33A92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资金到位率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957C93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DB004D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1E50E2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37FD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9BA2A7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预算执行率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672816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B6822A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EA20D3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74D89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4D13A17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资金使用合规性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9B68D1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D9C2AB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AB5C96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5</w:t>
            </w:r>
          </w:p>
        </w:tc>
      </w:tr>
      <w:tr w14:paraId="4CFD7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A2D5EA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管理制度健全性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CC0F60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AF8E0E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48B9F77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2</w:t>
            </w:r>
          </w:p>
        </w:tc>
      </w:tr>
      <w:tr w14:paraId="1514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865056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制度执行</w:t>
            </w:r>
            <w:r>
              <w:rPr>
                <w:rFonts w:hint="eastAsia" w:ascii="Times New Roman" w:cs="方正仿宋_GBK"/>
                <w:color w:val="auto"/>
                <w:kern w:val="2"/>
                <w:sz w:val="28"/>
                <w:szCs w:val="22"/>
                <w:lang w:val="en-US" w:eastAsia="zh-CN" w:bidi="ar"/>
              </w:rPr>
              <w:t>有效性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B5075A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3</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F129E4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66.67</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F34F39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2</w:t>
            </w:r>
          </w:p>
        </w:tc>
      </w:tr>
      <w:tr w14:paraId="7A34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181E14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8A8B3E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C37D70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95</w:t>
            </w:r>
            <w:r>
              <w:rPr>
                <w:rFonts w:hint="default" w:ascii="Times New Roman" w:hAnsi="Times New Roman" w:eastAsia="方正仿宋_GBK" w:cs="方正仿宋_GBK"/>
                <w:color w:val="auto"/>
                <w:kern w:val="2"/>
                <w:sz w:val="28"/>
                <w:szCs w:val="22"/>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701FA8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19</w:t>
            </w:r>
          </w:p>
        </w:tc>
      </w:tr>
    </w:tbl>
    <w:p w14:paraId="78830E56">
      <w:pPr>
        <w:bidi w:val="0"/>
        <w:rPr>
          <w:rFonts w:hint="eastAsia"/>
          <w:lang w:val="en-US" w:eastAsia="zh-CN"/>
        </w:rPr>
      </w:pPr>
      <w:r>
        <w:rPr>
          <w:rFonts w:hint="eastAsia"/>
          <w:lang w:val="en-US" w:eastAsia="zh-CN"/>
        </w:rPr>
        <w:t>（1）资金到位率：该项目预算资金2941万元，其中：中央资金0万元，自治区资金2941万元，其他资金0万元，实际到位资金2941万元，</w:t>
      </w:r>
      <w:r>
        <w:rPr>
          <w:rFonts w:hint="eastAsia"/>
        </w:rPr>
        <w:t>资金到位率=（实际到位资金/预算资金）×100.00%=（</w:t>
      </w:r>
      <w:r>
        <w:rPr>
          <w:rFonts w:hint="eastAsia"/>
          <w:lang w:val="en-US" w:eastAsia="zh-CN"/>
        </w:rPr>
        <w:t>2941</w:t>
      </w:r>
      <w:r>
        <w:rPr>
          <w:rFonts w:hint="eastAsia"/>
        </w:rPr>
        <w:t>/</w:t>
      </w:r>
      <w:r>
        <w:rPr>
          <w:rFonts w:hint="eastAsia"/>
          <w:lang w:val="en-US" w:eastAsia="zh-CN"/>
        </w:rPr>
        <w:t>2941</w:t>
      </w:r>
      <w:r>
        <w:rPr>
          <w:rFonts w:hint="eastAsia"/>
        </w:rPr>
        <w:t>）×100.00%</w:t>
      </w:r>
      <w:r>
        <w:rPr>
          <w:rFonts w:hint="eastAsia"/>
          <w:lang w:val="en-US" w:eastAsia="zh-CN"/>
        </w:rPr>
        <w:t>=</w:t>
      </w:r>
      <w:r>
        <w:rPr>
          <w:rFonts w:hint="eastAsia"/>
        </w:rPr>
        <w:t>100%</w:t>
      </w:r>
      <w:r>
        <w:rPr>
          <w:rFonts w:hint="eastAsia"/>
          <w:lang w:eastAsia="zh-CN"/>
        </w:rPr>
        <w:t>。</w:t>
      </w:r>
      <w:r>
        <w:rPr>
          <w:rFonts w:hint="eastAsia"/>
        </w:rPr>
        <w:t>得分=资金到位率×分值=100%×</w:t>
      </w:r>
      <w:r>
        <w:rPr>
          <w:rFonts w:hint="eastAsia"/>
          <w:lang w:val="en-US" w:eastAsia="zh-CN"/>
        </w:rPr>
        <w:t>5</w:t>
      </w:r>
      <w:r>
        <w:rPr>
          <w:rFonts w:hint="eastAsia"/>
        </w:rPr>
        <w:t>=</w:t>
      </w:r>
      <w:r>
        <w:rPr>
          <w:rFonts w:hint="eastAsia"/>
          <w:lang w:val="en-US" w:eastAsia="zh-CN"/>
        </w:rPr>
        <w:t>5</w:t>
      </w:r>
      <w:r>
        <w:rPr>
          <w:rFonts w:hint="eastAsia"/>
        </w:rPr>
        <w:t>分。</w:t>
      </w:r>
      <w:r>
        <w:rPr>
          <w:rFonts w:hint="eastAsia"/>
          <w:lang w:val="en-US" w:eastAsia="zh-CN"/>
        </w:rPr>
        <w:t>财政资金足额拨付到位，根据评分标准，该指标不扣分，得5分。</w:t>
      </w:r>
    </w:p>
    <w:p w14:paraId="7182AE04">
      <w:pPr>
        <w:bidi w:val="0"/>
        <w:rPr>
          <w:rFonts w:hint="eastAsia"/>
          <w:lang w:val="en-US" w:eastAsia="zh-CN"/>
        </w:rPr>
      </w:pPr>
      <w:r>
        <w:rPr>
          <w:rFonts w:hint="eastAsia"/>
          <w:lang w:val="en-US" w:eastAsia="zh-CN"/>
        </w:rPr>
        <w:t>（2）预算执行率：通过查阅该项目会计凭证，该项目于2025年1月支付生活补贴和护理补贴295.87万元，2月支付生活补贴和护理补贴240.73万元，3月支付生活补贴和护理补贴241.08万元，4月支付生活补贴和护理补贴241.03万元，5月支付生活补贴和护理补贴241.39万元，6月支付生活补贴和护理补贴241.93万元，7月支付生活补贴和护理补贴244.49万元，8月支付生活补贴和护理补贴245.8万元，9月支付生活补贴和护理补贴246.68万元，10月支付生活补贴和护理补贴246.95万元，11月支付生活补贴和护理补贴247.36万元，12月支付生活补贴和护理补贴207.55万元，该项目执行资金2940.86万元，执行率达99.995%。根据评分标准，该指标不扣分，得5分。</w:t>
      </w:r>
    </w:p>
    <w:p w14:paraId="075DC43C">
      <w:pPr>
        <w:bidi w:val="0"/>
        <w:rPr>
          <w:rFonts w:hint="eastAsia"/>
          <w:lang w:val="en-US" w:eastAsia="zh-CN"/>
        </w:rPr>
      </w:pPr>
      <w:r>
        <w:rPr>
          <w:rFonts w:hint="eastAsia"/>
          <w:lang w:val="en-US" w:eastAsia="zh-CN"/>
        </w:rPr>
        <w:t>（3）资金使用合规性：通过查阅单位会计原始凭证，项目资金由国库直接支付至惠民一卡通代发账户，由代发户批量代发，资金支出符合《关于提高全区困难残疾人生活补贴和重度残疾人护理补贴标准的通知》（新民发〔2024〕53号）《关于提前下达2025年自治区财政困难残疾人生活补贴和重度残疾人护理补贴补助资金的通知》（喀地财社〔2024〕67号）文件要求，符合莎车县民政局财务管理制度及国库集中支付制度，资金使用合规，根据评分标准，该指标不扣分，得5分。</w:t>
      </w:r>
    </w:p>
    <w:p w14:paraId="7C0A158B">
      <w:pPr>
        <w:bidi w:val="0"/>
        <w:rPr>
          <w:rFonts w:hint="eastAsia"/>
          <w:lang w:val="en-US" w:eastAsia="zh-CN"/>
        </w:rPr>
      </w:pPr>
      <w:r>
        <w:rPr>
          <w:rFonts w:hint="eastAsia"/>
          <w:lang w:val="en-US" w:eastAsia="zh-CN"/>
        </w:rPr>
        <w:t>（4）管理制度健全性：莎车县民政局制定了《莎车县民政局财务管理制度》《莎车县民政局财务内控管理制度》《莎车县民政局项目资金绩效评价管理制度》，对财政专项资金进行严格管理，做到了专款专用，根据评分标准，该指标不扣分，得2分。</w:t>
      </w:r>
    </w:p>
    <w:p w14:paraId="6682491D">
      <w:pPr>
        <w:bidi w:val="0"/>
        <w:rPr>
          <w:rFonts w:hint="eastAsia"/>
          <w:lang w:val="en-US" w:eastAsia="zh-CN"/>
        </w:rPr>
      </w:pPr>
      <w:r>
        <w:rPr>
          <w:rFonts w:hint="eastAsia"/>
          <w:lang w:val="en-US" w:eastAsia="zh-CN"/>
        </w:rPr>
        <w:t>（5）制度执行有效性：项目运行严格按照单位《莎车县民政局财务管理制度》《莎车县民政局财务内控管理制度》等制度运行，制定《困难残疾人生活补贴和重度残疾人护理补贴申请办理流程》，</w:t>
      </w:r>
      <w:r>
        <w:rPr>
          <w:rFonts w:hint="eastAsia"/>
        </w:rPr>
        <w:t>经对比分析</w:t>
      </w:r>
      <w:r>
        <w:rPr>
          <w:rFonts w:hint="eastAsia"/>
          <w:lang w:eastAsia="zh-CN"/>
        </w:rPr>
        <w:t>该</w:t>
      </w:r>
      <w:r>
        <w:rPr>
          <w:rFonts w:hint="eastAsia"/>
        </w:rPr>
        <w:t>项目实际执行过程资料和已建立的项目管理制度和财务管理制度，得出</w:t>
      </w:r>
      <w:r>
        <w:rPr>
          <w:rFonts w:hint="eastAsia"/>
          <w:lang w:eastAsia="zh-CN"/>
        </w:rPr>
        <w:t>该</w:t>
      </w:r>
      <w:r>
        <w:rPr>
          <w:rFonts w:hint="eastAsia"/>
        </w:rPr>
        <w:t>项目严格按照本单位已建立制度执行。项目资金支出严格按照</w:t>
      </w:r>
      <w:r>
        <w:rPr>
          <w:rFonts w:hint="eastAsia"/>
          <w:lang w:eastAsia="zh-CN"/>
        </w:rPr>
        <w:t>中央、</w:t>
      </w:r>
      <w:r>
        <w:rPr>
          <w:rFonts w:hint="eastAsia"/>
        </w:rPr>
        <w:t>自治区、地区、</w:t>
      </w:r>
      <w:r>
        <w:rPr>
          <w:rFonts w:hint="eastAsia"/>
          <w:lang w:eastAsia="zh-CN"/>
        </w:rPr>
        <w:t>县</w:t>
      </w:r>
      <w:r>
        <w:rPr>
          <w:rFonts w:hint="eastAsia"/>
        </w:rPr>
        <w:t>以及本单位资金管理办法执行，项目启动实施后，为了</w:t>
      </w:r>
      <w:r>
        <w:rPr>
          <w:rFonts w:hint="eastAsia"/>
          <w:lang w:eastAsia="zh-CN"/>
        </w:rPr>
        <w:t>加快该</w:t>
      </w:r>
      <w:r>
        <w:rPr>
          <w:rFonts w:hint="eastAsia"/>
        </w:rPr>
        <w:t>项目的实施，</w:t>
      </w:r>
      <w:r>
        <w:rPr>
          <w:rFonts w:hint="eastAsia"/>
          <w:lang w:eastAsia="zh-CN"/>
        </w:rPr>
        <w:t>莎车县民政局成立了2025年莎车县困难残疾人生活补贴和重度残疾人护理补贴项目领导小组，</w:t>
      </w:r>
      <w:r>
        <w:rPr>
          <w:rFonts w:hint="eastAsia"/>
          <w:lang w:val="en-US" w:eastAsia="zh-CN"/>
        </w:rPr>
        <w:t>由</w:t>
      </w:r>
      <w:bookmarkStart w:id="288" w:name="OLE_LINK4"/>
      <w:r>
        <w:rPr>
          <w:rFonts w:hint="eastAsia"/>
          <w:lang w:val="en-US" w:eastAsia="zh-CN"/>
        </w:rPr>
        <w:t>莎车县民政局副局长马俊华</w:t>
      </w:r>
      <w:bookmarkEnd w:id="288"/>
      <w:r>
        <w:rPr>
          <w:rFonts w:hint="eastAsia"/>
          <w:lang w:val="en-US" w:eastAsia="zh-CN"/>
        </w:rPr>
        <w:t>任项目组长，负责该项目的全盘组织实施；业务工作人员何宇星</w:t>
      </w:r>
      <w:r>
        <w:rPr>
          <w:rFonts w:hint="eastAsia"/>
        </w:rPr>
        <w:t>负责项目实施</w:t>
      </w:r>
      <w:r>
        <w:rPr>
          <w:rFonts w:hint="eastAsia"/>
          <w:lang w:eastAsia="zh-CN"/>
        </w:rPr>
        <w:t>、</w:t>
      </w:r>
      <w:r>
        <w:rPr>
          <w:rFonts w:hint="eastAsia"/>
        </w:rPr>
        <w:t>项目监督管理</w:t>
      </w:r>
      <w:r>
        <w:rPr>
          <w:rFonts w:hint="eastAsia"/>
          <w:lang w:eastAsia="zh-CN"/>
        </w:rPr>
        <w:t>工作</w:t>
      </w:r>
      <w:r>
        <w:rPr>
          <w:rFonts w:hint="eastAsia"/>
          <w:lang w:val="en-US" w:eastAsia="zh-CN"/>
        </w:rPr>
        <w:t>；财务负责人马鸿宇按照项目负责人提供的依据和发票等按项目进度向财政申请支付资金；部门提出经费预算支出可行性方案，经过与县政府分管领导沟通后，报党支部会议研究执行，财务对资金的使用合法合规性进行监督，年底对资金使用效果进行自评；通过业务与财务工作共同配合衔接，形成了明确责任分工的项目管理制度，并按照监督检查制度、预算绩效管理办法等相关制度办法严格落实各环节工作，严格按照流程执行项目，该项目监管有效，不存在履职不到位的情况。但在查看支付资料时，其一：出现2025年1月支付2024年12月缺口补助资金，2025年1月支付2024年12月困难残疾人生活补贴27.22万元、重度残疾人护理补贴27.41万元；2025年12月出现39.46万元资金缺口；其二：出现已故人员违规领取残疾人两项补贴情况，追回3月重度残疾人护理补贴120元、4月困难残疾人生活补贴120元、8月重度残疾人护理补贴120元。综上所述，该指标扣1分，得2分。</w:t>
      </w:r>
    </w:p>
    <w:p w14:paraId="0347E00C">
      <w:pPr>
        <w:pStyle w:val="6"/>
        <w:bidi w:val="0"/>
        <w:rPr>
          <w:rFonts w:hint="eastAsia"/>
          <w:lang w:val="en-US" w:eastAsia="zh-CN"/>
        </w:rPr>
      </w:pPr>
      <w:bookmarkStart w:id="289" w:name="_Toc30694"/>
      <w:bookmarkStart w:id="290" w:name="_Toc8503"/>
      <w:bookmarkStart w:id="291" w:name="_Toc29412"/>
      <w:bookmarkStart w:id="292" w:name="_Toc18877"/>
      <w:bookmarkStart w:id="293" w:name="_Toc14350"/>
      <w:bookmarkStart w:id="294" w:name="_Toc3541"/>
      <w:r>
        <w:rPr>
          <w:rFonts w:hint="eastAsia"/>
          <w:lang w:val="en-US" w:eastAsia="zh-CN"/>
        </w:rPr>
        <w:t>（三）项目产出情况</w:t>
      </w:r>
      <w:bookmarkEnd w:id="289"/>
      <w:bookmarkEnd w:id="290"/>
      <w:bookmarkEnd w:id="291"/>
      <w:bookmarkEnd w:id="292"/>
      <w:bookmarkEnd w:id="293"/>
      <w:bookmarkEnd w:id="294"/>
    </w:p>
    <w:p w14:paraId="74690975">
      <w:pPr>
        <w:bidi w:val="0"/>
        <w:rPr>
          <w:rFonts w:hint="eastAsia"/>
          <w:lang w:val="en-US" w:eastAsia="zh-CN"/>
        </w:rPr>
      </w:pPr>
      <w:r>
        <w:rPr>
          <w:rFonts w:hint="eastAsia"/>
          <w:lang w:val="en-US" w:eastAsia="zh-CN"/>
        </w:rPr>
        <w:t>项目产出类指标包括产出数量、产出质量、产出时效、产出成本四方面的内容，由4个二级指标构成，权重分为40分，实际得分40分，得分率为100%。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24"/>
        <w:gridCol w:w="1682"/>
        <w:gridCol w:w="2131"/>
        <w:gridCol w:w="1682"/>
      </w:tblGrid>
      <w:tr w14:paraId="26F2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D3F33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cs="方正仿宋_GBK"/>
                <w:color w:val="auto"/>
                <w:lang w:eastAsia="zh-CN"/>
              </w:rPr>
              <w:t>二</w:t>
            </w:r>
            <w:r>
              <w:rPr>
                <w:rFonts w:hint="eastAsia" w:ascii="Times New Roman" w:hAnsi="方正仿宋_GBK" w:eastAsia="方正仿宋_GBK" w:cs="方正仿宋_GBK"/>
                <w:color w:val="auto"/>
              </w:rPr>
              <w:t>级指标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31C1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FBAA2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0C452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5368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668E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产出数量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8A6FC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3BA79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4D8F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10</w:t>
            </w:r>
          </w:p>
        </w:tc>
      </w:tr>
      <w:tr w14:paraId="070E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452A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产出质量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6239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785966">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4604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10</w:t>
            </w:r>
          </w:p>
        </w:tc>
      </w:tr>
      <w:tr w14:paraId="0488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C15F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产出时效</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535BD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C49F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CA92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w:t>
            </w:r>
          </w:p>
        </w:tc>
      </w:tr>
      <w:tr w14:paraId="7637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19A2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成本情况</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64CB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705B7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36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eastAsia="方正仿宋_GBK" w:cs="方正仿宋_GBK"/>
                <w:color w:val="auto"/>
                <w:kern w:val="2"/>
                <w:sz w:val="28"/>
                <w:szCs w:val="22"/>
                <w:lang w:val="en-US" w:eastAsia="zh-CN" w:bidi="ar"/>
              </w:rPr>
              <w:t>10</w:t>
            </w:r>
          </w:p>
        </w:tc>
      </w:tr>
      <w:tr w14:paraId="0794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1587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22827">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40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31C3D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100</w:t>
            </w:r>
            <w:r>
              <w:rPr>
                <w:rFonts w:hint="default" w:ascii="Times New Roman" w:hAnsi="Times New Roman" w:eastAsia="方正仿宋_GBK" w:cs="方正仿宋_GBK"/>
                <w:color w:val="auto"/>
                <w:kern w:val="2"/>
                <w:sz w:val="28"/>
                <w:szCs w:val="22"/>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FCDC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Times New Roman" w:cs="方正仿宋_GBK"/>
                <w:color w:val="auto"/>
                <w:kern w:val="2"/>
                <w:sz w:val="28"/>
                <w:szCs w:val="22"/>
                <w:lang w:val="en-US" w:eastAsia="zh-CN" w:bidi="ar"/>
              </w:rPr>
              <w:t>40</w:t>
            </w:r>
          </w:p>
        </w:tc>
      </w:tr>
    </w:tbl>
    <w:p w14:paraId="032F0071">
      <w:pPr>
        <w:pStyle w:val="7"/>
        <w:bidi w:val="0"/>
        <w:rPr>
          <w:rFonts w:hint="default"/>
          <w:lang w:val="en-US" w:eastAsia="zh-CN"/>
        </w:rPr>
      </w:pPr>
      <w:bookmarkStart w:id="295" w:name="_Toc18245"/>
      <w:bookmarkStart w:id="296" w:name="_Toc28735"/>
      <w:bookmarkStart w:id="297" w:name="_Toc16015"/>
      <w:r>
        <w:rPr>
          <w:rFonts w:hint="eastAsia"/>
          <w:lang w:val="en-US" w:eastAsia="zh-CN"/>
        </w:rPr>
        <w:t>1.对于“产出数量”</w:t>
      </w:r>
      <w:bookmarkEnd w:id="295"/>
      <w:bookmarkEnd w:id="296"/>
      <w:bookmarkEnd w:id="297"/>
    </w:p>
    <w:p w14:paraId="16B3D968">
      <w:pPr>
        <w:bidi w:val="0"/>
        <w:rPr>
          <w:rFonts w:hint="eastAsia"/>
          <w:lang w:val="en-US" w:eastAsia="zh-CN"/>
        </w:rPr>
      </w:pPr>
      <w:r>
        <w:rPr>
          <w:rFonts w:hint="eastAsia"/>
          <w:lang w:val="en-US" w:eastAsia="zh-CN"/>
        </w:rPr>
        <w:t>发放困难残疾人生活补贴人数指标，预期目标是大于等于11825人，通过查看2025年残疾人两项补贴每月发放统计表，该指标实际完成11825人，指标完成率为100%。所设分值为5分，实际得分为5分。</w:t>
      </w:r>
    </w:p>
    <w:p w14:paraId="479E5025">
      <w:pPr>
        <w:bidi w:val="0"/>
        <w:rPr>
          <w:rFonts w:hint="eastAsia"/>
          <w:lang w:val="en-US" w:eastAsia="zh-CN"/>
        </w:rPr>
      </w:pPr>
      <w:r>
        <w:rPr>
          <w:rFonts w:hint="eastAsia"/>
          <w:lang w:val="en-US" w:eastAsia="zh-CN"/>
        </w:rPr>
        <w:t>发放重度残疾人护理补贴人数指标，预期目标是大于等于8771人，通过查看2025年残疾人两项补贴每月发放统计表，该指标实际完成8771人，指标完成率为100%。所设分值为5分，实际得分为5分。</w:t>
      </w:r>
    </w:p>
    <w:p w14:paraId="007E0D43">
      <w:pPr>
        <w:bidi w:val="0"/>
        <w:rPr>
          <w:rFonts w:hint="eastAsia"/>
          <w:lang w:val="en-US" w:eastAsia="zh-CN"/>
        </w:rPr>
      </w:pPr>
      <w:r>
        <w:rPr>
          <w:rFonts w:hint="eastAsia"/>
          <w:lang w:val="en-US" w:eastAsia="zh-CN"/>
        </w:rPr>
        <w:t>合计得10分。</w:t>
      </w:r>
    </w:p>
    <w:p w14:paraId="5E190FC6">
      <w:pPr>
        <w:pStyle w:val="7"/>
        <w:bidi w:val="0"/>
        <w:rPr>
          <w:rFonts w:hint="default"/>
          <w:lang w:val="en-US" w:eastAsia="zh-CN"/>
        </w:rPr>
      </w:pPr>
      <w:bookmarkStart w:id="298" w:name="_Toc16608"/>
      <w:bookmarkStart w:id="299" w:name="_Toc21194"/>
      <w:bookmarkStart w:id="300" w:name="_Toc30829"/>
      <w:r>
        <w:rPr>
          <w:rFonts w:hint="eastAsia"/>
          <w:lang w:val="en-US" w:eastAsia="zh-CN"/>
        </w:rPr>
        <w:t>2.对于“产出质量”</w:t>
      </w:r>
      <w:bookmarkEnd w:id="298"/>
      <w:bookmarkEnd w:id="299"/>
      <w:bookmarkEnd w:id="300"/>
    </w:p>
    <w:p w14:paraId="79F50AF7">
      <w:pPr>
        <w:bidi w:val="0"/>
        <w:rPr>
          <w:rFonts w:hint="eastAsia"/>
          <w:lang w:val="en-US" w:eastAsia="zh-CN"/>
        </w:rPr>
      </w:pPr>
      <w:r>
        <w:rPr>
          <w:rFonts w:hint="eastAsia"/>
          <w:lang w:val="en-US" w:eastAsia="zh-CN"/>
        </w:rPr>
        <w:t>补助人员身份审核合格率指标，预期目标是100%，通过查看2025年残疾人两项补贴每月发放统计表，实际完成100%，指标完成率为100%。所设分值为10分，实际得分为10分。</w:t>
      </w:r>
    </w:p>
    <w:p w14:paraId="0810A45A">
      <w:pPr>
        <w:bidi w:val="0"/>
        <w:rPr>
          <w:rFonts w:hint="eastAsia"/>
          <w:lang w:val="en-US" w:eastAsia="zh-CN"/>
        </w:rPr>
      </w:pPr>
      <w:r>
        <w:rPr>
          <w:rFonts w:hint="eastAsia"/>
          <w:lang w:val="en-US" w:eastAsia="zh-CN"/>
        </w:rPr>
        <w:t>合计得10分。</w:t>
      </w:r>
      <w:bookmarkStart w:id="301" w:name="_Toc27220"/>
      <w:bookmarkStart w:id="302" w:name="_Toc20449"/>
      <w:bookmarkStart w:id="303" w:name="_Toc23278"/>
    </w:p>
    <w:p w14:paraId="3D18A219">
      <w:pPr>
        <w:pStyle w:val="7"/>
        <w:bidi w:val="0"/>
        <w:rPr>
          <w:rFonts w:hint="default"/>
          <w:lang w:val="en-US" w:eastAsia="zh-CN"/>
        </w:rPr>
      </w:pPr>
      <w:r>
        <w:rPr>
          <w:rFonts w:hint="eastAsia"/>
          <w:lang w:val="en-US" w:eastAsia="zh-CN"/>
        </w:rPr>
        <w:t>3.对于“产出时效”</w:t>
      </w:r>
      <w:bookmarkEnd w:id="301"/>
      <w:bookmarkEnd w:id="302"/>
      <w:bookmarkEnd w:id="303"/>
    </w:p>
    <w:p w14:paraId="70F6C5D1">
      <w:pPr>
        <w:bidi w:val="0"/>
        <w:rPr>
          <w:rFonts w:hint="eastAsia"/>
          <w:lang w:val="en-US" w:eastAsia="zh-CN"/>
        </w:rPr>
      </w:pPr>
      <w:r>
        <w:rPr>
          <w:rFonts w:hint="eastAsia"/>
          <w:lang w:val="en-US" w:eastAsia="zh-CN"/>
        </w:rPr>
        <w:t>补助月数指标，预期目标是等于12个月，通过查看该项目国库集中支付凭证、2025年残疾人两项补贴每月发放统计表，实际完成12个月，指标完成率100%。所设分值为5分，实际得分为5分。</w:t>
      </w:r>
    </w:p>
    <w:p w14:paraId="32A38E45">
      <w:pPr>
        <w:bidi w:val="0"/>
        <w:rPr>
          <w:rFonts w:hint="eastAsia"/>
          <w:lang w:val="en-US" w:eastAsia="zh-CN"/>
        </w:rPr>
      </w:pPr>
      <w:r>
        <w:rPr>
          <w:rFonts w:hint="eastAsia"/>
          <w:lang w:val="en-US" w:eastAsia="zh-CN"/>
        </w:rPr>
        <w:t>补助发放时间指标，预期目标是每月15日之前，通过查看该项目国库集中支付凭证，实际完成每月15日之前，指标完成率100%。所设分值为5分，实际得分为5分。</w:t>
      </w:r>
    </w:p>
    <w:p w14:paraId="3988ECC5">
      <w:pPr>
        <w:bidi w:val="0"/>
        <w:rPr>
          <w:rFonts w:hint="eastAsia"/>
          <w:lang w:val="en-US" w:eastAsia="zh-CN"/>
        </w:rPr>
      </w:pPr>
      <w:r>
        <w:rPr>
          <w:rFonts w:hint="eastAsia"/>
          <w:lang w:val="en-US" w:eastAsia="zh-CN"/>
        </w:rPr>
        <w:t>合计得10分。</w:t>
      </w:r>
    </w:p>
    <w:p w14:paraId="61FC4C78">
      <w:pPr>
        <w:pStyle w:val="7"/>
        <w:bidi w:val="0"/>
        <w:rPr>
          <w:rFonts w:hint="default"/>
          <w:lang w:val="en-US" w:eastAsia="zh-CN"/>
        </w:rPr>
      </w:pPr>
      <w:bookmarkStart w:id="304" w:name="_Toc13399"/>
      <w:bookmarkStart w:id="305" w:name="_Toc24377"/>
      <w:bookmarkStart w:id="306" w:name="_Toc9903"/>
      <w:r>
        <w:rPr>
          <w:rFonts w:hint="eastAsia"/>
          <w:lang w:val="en-US" w:eastAsia="zh-CN"/>
        </w:rPr>
        <w:t>4.对于“产出成本”</w:t>
      </w:r>
      <w:bookmarkEnd w:id="304"/>
      <w:bookmarkEnd w:id="305"/>
      <w:bookmarkEnd w:id="306"/>
    </w:p>
    <w:p w14:paraId="3E9786D6">
      <w:pPr>
        <w:bidi w:val="0"/>
        <w:rPr>
          <w:rFonts w:hint="eastAsia"/>
          <w:lang w:val="en-US" w:eastAsia="zh-CN"/>
        </w:rPr>
      </w:pPr>
      <w:r>
        <w:rPr>
          <w:rFonts w:hint="eastAsia"/>
          <w:lang w:val="en-US" w:eastAsia="zh-CN"/>
        </w:rPr>
        <w:t>困难残疾人生活补贴标准指标，预期目标是小于等于120元/人/月，通过查看2025年残疾人两项补贴每月发放统计表，实际完成120元/人/月，指标完成率100%。所设分值为5分，实际得分为5分。</w:t>
      </w:r>
    </w:p>
    <w:p w14:paraId="2A50C6B8">
      <w:pPr>
        <w:bidi w:val="0"/>
        <w:rPr>
          <w:rFonts w:hint="eastAsia"/>
          <w:lang w:val="en-US" w:eastAsia="zh-CN"/>
        </w:rPr>
      </w:pPr>
      <w:r>
        <w:rPr>
          <w:rFonts w:hint="eastAsia"/>
          <w:lang w:val="en-US" w:eastAsia="zh-CN"/>
        </w:rPr>
        <w:t>重度残疾人护理补贴标准指标，预期目标是小于等于120元/人/月，通过查看2025年残疾人两项补贴每月发放统计表，实际完成120元/人/月，指标完成率100%。所设分值为5分，实际得分为5分。</w:t>
      </w:r>
    </w:p>
    <w:p w14:paraId="04711F23">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lang w:val="en-US" w:eastAsia="zh-CN" w:bidi="en-US"/>
        </w:rPr>
      </w:pPr>
      <w:r>
        <w:rPr>
          <w:rFonts w:hint="eastAsia" w:ascii="方正仿宋_GBK" w:hAnsi="方正仿宋_GBK" w:eastAsia="方正仿宋_GBK" w:cs="方正仿宋_GBK"/>
          <w:b w:val="0"/>
          <w:bCs w:val="0"/>
          <w:color w:val="auto"/>
          <w:kern w:val="0"/>
          <w:sz w:val="32"/>
          <w:szCs w:val="32"/>
          <w:lang w:val="en-US" w:eastAsia="zh-CN" w:bidi="en-US"/>
        </w:rPr>
        <w:t>合计得10分。</w:t>
      </w:r>
    </w:p>
    <w:p w14:paraId="1B3F6479">
      <w:pPr>
        <w:pStyle w:val="6"/>
        <w:bidi w:val="0"/>
        <w:rPr>
          <w:rFonts w:hint="eastAsia"/>
          <w:lang w:val="en-US" w:eastAsia="zh-CN"/>
        </w:rPr>
      </w:pPr>
      <w:bookmarkStart w:id="307" w:name="_Toc1480"/>
      <w:bookmarkStart w:id="308" w:name="_Toc10248"/>
      <w:bookmarkStart w:id="309" w:name="_Toc15566"/>
      <w:bookmarkStart w:id="310" w:name="_Toc11223"/>
      <w:bookmarkStart w:id="311" w:name="_Toc16302"/>
      <w:bookmarkStart w:id="312" w:name="_Toc8939"/>
      <w:r>
        <w:rPr>
          <w:rFonts w:hint="eastAsia"/>
          <w:lang w:val="en-US" w:eastAsia="zh-CN"/>
        </w:rPr>
        <w:t>（四）项目效益情况</w:t>
      </w:r>
      <w:bookmarkEnd w:id="307"/>
      <w:bookmarkEnd w:id="308"/>
      <w:bookmarkEnd w:id="309"/>
      <w:bookmarkEnd w:id="310"/>
      <w:bookmarkEnd w:id="311"/>
      <w:bookmarkEnd w:id="312"/>
    </w:p>
    <w:p w14:paraId="09C6228A">
      <w:pPr>
        <w:bidi w:val="0"/>
        <w:rPr>
          <w:rFonts w:hint="eastAsia"/>
          <w:lang w:val="en-US" w:eastAsia="zh-CN"/>
        </w:rPr>
      </w:pPr>
      <w:r>
        <w:rPr>
          <w:rFonts w:hint="eastAsia"/>
          <w:lang w:val="en-US" w:eastAsia="zh-CN"/>
        </w:rPr>
        <w:t>项目效益类指标包括项目效益及满意度两个方面的内容，由2个三级指标构成，权重分为20分，实际得分20分，得分率为100%。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17"/>
        <w:gridCol w:w="1761"/>
        <w:gridCol w:w="1784"/>
        <w:gridCol w:w="2365"/>
      </w:tblGrid>
      <w:tr w14:paraId="54FE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7"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334732C1">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rPr>
              <w:t>三级指标</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24EBF5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权重</w:t>
            </w: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995395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得分率</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96B0B4A">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实际得分</w:t>
            </w:r>
          </w:p>
        </w:tc>
      </w:tr>
      <w:tr w14:paraId="7B4CA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2417"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1F6E14B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实施效益</w:t>
            </w: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A9DBF4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178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DEC638F">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100%</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BBF7CA2">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r>
      <w:tr w14:paraId="0D7B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417"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5D64147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8B452FD">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rPr>
            </w:pPr>
          </w:p>
        </w:tc>
        <w:tc>
          <w:tcPr>
            <w:tcW w:w="178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786A397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61DA5AE">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rPr>
            </w:pPr>
          </w:p>
        </w:tc>
      </w:tr>
      <w:tr w14:paraId="7FE2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9"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DEF8CF8">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满意度</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1CC974">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669DD7B5">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43C6369">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w:t>
            </w:r>
          </w:p>
        </w:tc>
      </w:tr>
      <w:tr w14:paraId="3E0A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4"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0F3EDBE0">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eastAsia" w:ascii="Times New Roman" w:hAnsi="方正仿宋_GBK" w:eastAsia="方正仿宋_GBK" w:cs="方正仿宋_GBK"/>
                <w:color w:val="auto"/>
                <w:kern w:val="2"/>
                <w:sz w:val="28"/>
                <w:szCs w:val="22"/>
                <w:lang w:val="en-US" w:eastAsia="zh-CN" w:bidi="ar"/>
              </w:rPr>
              <w:t>合计</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169D053">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14:paraId="29FFC0EC">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412DACB">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lang w:val="en-US"/>
              </w:rPr>
            </w:pPr>
            <w:r>
              <w:rPr>
                <w:rFonts w:hint="default" w:ascii="Times New Roman" w:hAnsi="Times New Roman" w:eastAsia="方正仿宋_GBK" w:cs="方正仿宋_GBK"/>
                <w:color w:val="auto"/>
                <w:kern w:val="2"/>
                <w:sz w:val="28"/>
                <w:szCs w:val="22"/>
                <w:lang w:val="en-US" w:eastAsia="zh-CN" w:bidi="ar"/>
              </w:rPr>
              <w:t>20</w:t>
            </w:r>
          </w:p>
        </w:tc>
      </w:tr>
    </w:tbl>
    <w:p w14:paraId="3DCA7564">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ascii="方正仿宋_GBK" w:hAnsi="方正仿宋_GBK" w:eastAsia="方正仿宋_GBK" w:cs="方正仿宋_GBK"/>
          <w:b w:val="0"/>
          <w:bCs w:val="0"/>
          <w:color w:val="auto"/>
          <w:kern w:val="0"/>
          <w:sz w:val="32"/>
          <w:szCs w:val="32"/>
          <w:lang w:val="en-US" w:eastAsia="zh-CN" w:bidi="en-US"/>
        </w:rPr>
      </w:pPr>
    </w:p>
    <w:p w14:paraId="0FA30A38">
      <w:pPr>
        <w:pStyle w:val="7"/>
        <w:bidi w:val="0"/>
        <w:rPr>
          <w:rFonts w:hint="default"/>
          <w:lang w:val="en-US" w:eastAsia="zh-CN"/>
        </w:rPr>
      </w:pPr>
      <w:bookmarkStart w:id="313" w:name="_Toc26308"/>
      <w:bookmarkStart w:id="314" w:name="_Toc12580"/>
      <w:bookmarkStart w:id="315" w:name="_Toc10790"/>
      <w:r>
        <w:rPr>
          <w:rFonts w:hint="eastAsia"/>
          <w:lang w:val="en-US" w:eastAsia="zh-CN"/>
        </w:rPr>
        <w:t>1.实施效益指标</w:t>
      </w:r>
      <w:bookmarkEnd w:id="313"/>
      <w:bookmarkEnd w:id="314"/>
      <w:bookmarkEnd w:id="315"/>
    </w:p>
    <w:p w14:paraId="3EE299AD">
      <w:pPr>
        <w:bidi w:val="0"/>
        <w:rPr>
          <w:rFonts w:hint="eastAsia"/>
          <w:lang w:val="en-US" w:eastAsia="zh-CN"/>
        </w:rPr>
      </w:pPr>
      <w:r>
        <w:rPr>
          <w:rFonts w:hint="eastAsia"/>
          <w:lang w:val="en-US" w:eastAsia="zh-CN"/>
        </w:rPr>
        <w:t>对于“社会效益指标”：</w:t>
      </w:r>
    </w:p>
    <w:p w14:paraId="68CC0D8E">
      <w:pPr>
        <w:bidi w:val="0"/>
        <w:rPr>
          <w:rFonts w:hint="eastAsia"/>
          <w:lang w:val="en-US" w:eastAsia="zh-CN"/>
        </w:rPr>
      </w:pPr>
      <w:r>
        <w:rPr>
          <w:rFonts w:hint="eastAsia"/>
          <w:lang w:val="en-US" w:eastAsia="zh-CN"/>
        </w:rPr>
        <w:t>提升残疾人生活质量指标，预期目标是有效提升，评价组通过对享受生活补贴、护理补贴人员及其家属发放“2025年莎车县困难残疾人生活补贴和重度残疾人护理补贴项目满意度调查问卷”，对该项目实施效益进行调查分析，评价组共发放200份满意度调查问卷，分为二档，即“是”“否”，收回问卷200份，按照“2025年莎车县困难残疾人生活补贴和重度残疾人护理补贴项目满意度调查问卷”第2题的回复情况，调查对象均表示有效提升了生活质量，实际完成有效提升，指标完成率100%。所设分值为10分，实际得分为10分。</w:t>
      </w:r>
    </w:p>
    <w:p w14:paraId="1AD7BB2C">
      <w:pPr>
        <w:bidi w:val="0"/>
        <w:rPr>
          <w:rFonts w:hint="eastAsia"/>
          <w:lang w:val="en-US" w:eastAsia="zh-CN"/>
        </w:rPr>
      </w:pPr>
      <w:r>
        <w:rPr>
          <w:rFonts w:hint="eastAsia"/>
          <w:lang w:val="en-US" w:eastAsia="zh-CN"/>
        </w:rPr>
        <w:t>实施效益指标合计得10分。</w:t>
      </w:r>
    </w:p>
    <w:p w14:paraId="3003DF04">
      <w:pPr>
        <w:pStyle w:val="7"/>
        <w:bidi w:val="0"/>
        <w:rPr>
          <w:rFonts w:hint="eastAsia"/>
          <w:lang w:val="en-US" w:eastAsia="zh-CN"/>
        </w:rPr>
      </w:pPr>
      <w:bookmarkStart w:id="316" w:name="_Toc15243"/>
      <w:bookmarkStart w:id="317" w:name="_Toc12594"/>
      <w:bookmarkStart w:id="318" w:name="_Toc23167"/>
      <w:r>
        <w:rPr>
          <w:rFonts w:hint="eastAsia"/>
          <w:lang w:val="en-US" w:eastAsia="zh-CN"/>
        </w:rPr>
        <w:t>2.满意度指标</w:t>
      </w:r>
      <w:bookmarkEnd w:id="316"/>
      <w:bookmarkEnd w:id="317"/>
      <w:bookmarkEnd w:id="318"/>
    </w:p>
    <w:p w14:paraId="204C8CF4">
      <w:pPr>
        <w:bidi w:val="0"/>
        <w:rPr>
          <w:rFonts w:hint="eastAsia"/>
          <w:lang w:val="en-US" w:eastAsia="zh-CN"/>
        </w:rPr>
      </w:pPr>
      <w:r>
        <w:rPr>
          <w:rFonts w:hint="eastAsia"/>
          <w:lang w:val="en-US" w:eastAsia="zh-CN"/>
        </w:rPr>
        <w:t>对于“满意度指标”：</w:t>
      </w:r>
    </w:p>
    <w:bookmarkEnd w:id="281"/>
    <w:p w14:paraId="5E87AEFD">
      <w:pPr>
        <w:bidi w:val="0"/>
        <w:rPr>
          <w:rFonts w:hint="eastAsia"/>
          <w:lang w:val="en-US" w:eastAsia="zh-CN"/>
        </w:rPr>
      </w:pPr>
      <w:r>
        <w:rPr>
          <w:rFonts w:hint="eastAsia"/>
          <w:lang w:val="en-US" w:eastAsia="zh-CN"/>
        </w:rPr>
        <w:t>受助对象满意度指标，预期目标是大于等于95%，评价组通过对享受生活补贴、护理补贴人员及其家属发放“2025年莎车县困难残疾人生活补贴和重度残疾人护理补贴项目满意度调查问卷”，对该项目满意度进行调查分析，评价组共发放200份满意度调查问卷，分为二档，即“是”“否”，收回问卷200份，按照“2025年莎车县困难残疾人生活补贴和重度残疾人护理补贴项目满意度调查问卷”第5题的回复情况计算公式得知，调查对象满意度为95%，即=（190×1.0+10×0）/200×100%，等于95%，指标完成率100%。所设分值为10分，实际得分为10分。</w:t>
      </w:r>
    </w:p>
    <w:p w14:paraId="3C225915">
      <w:pPr>
        <w:bidi w:val="0"/>
        <w:rPr>
          <w:rFonts w:hint="eastAsia" w:ascii="方正仿宋_GBK" w:hAnsi="方正仿宋_GBK" w:eastAsia="方正仿宋_GBK" w:cs="方正仿宋_GBK"/>
          <w:b w:val="0"/>
          <w:bCs w:val="0"/>
          <w:color w:val="auto"/>
          <w:kern w:val="0"/>
          <w:szCs w:val="32"/>
          <w:lang w:val="en-US" w:eastAsia="zh-CN" w:bidi="en-US"/>
        </w:rPr>
      </w:pPr>
      <w:r>
        <w:rPr>
          <w:rFonts w:hint="eastAsia"/>
          <w:lang w:val="en-US" w:eastAsia="zh-CN"/>
        </w:rPr>
        <w:t>合计得10分。</w:t>
      </w:r>
    </w:p>
    <w:p w14:paraId="1CFE5C9C">
      <w:pPr>
        <w:pStyle w:val="5"/>
        <w:bidi w:val="0"/>
        <w:rPr>
          <w:rFonts w:hint="eastAsia"/>
          <w:lang w:val="en-US" w:eastAsia="zh-CN"/>
        </w:rPr>
      </w:pPr>
      <w:bookmarkStart w:id="319" w:name="_Toc8285"/>
      <w:bookmarkStart w:id="320" w:name="_Toc7765"/>
      <w:bookmarkStart w:id="321" w:name="_Toc14179"/>
      <w:bookmarkStart w:id="322" w:name="_Toc11687"/>
      <w:bookmarkStart w:id="323" w:name="_Toc19143"/>
      <w:bookmarkStart w:id="324" w:name="_Toc916"/>
      <w:r>
        <w:rPr>
          <w:rFonts w:hint="eastAsia"/>
          <w:lang w:val="en-US" w:eastAsia="zh-CN"/>
        </w:rPr>
        <w:t>五、主要经验及做法、存在的问题及原因分析</w:t>
      </w:r>
      <w:bookmarkEnd w:id="319"/>
      <w:bookmarkEnd w:id="320"/>
      <w:bookmarkEnd w:id="321"/>
      <w:bookmarkEnd w:id="322"/>
      <w:bookmarkEnd w:id="323"/>
      <w:bookmarkEnd w:id="324"/>
    </w:p>
    <w:p w14:paraId="28CE648B">
      <w:pPr>
        <w:pStyle w:val="6"/>
        <w:bidi w:val="0"/>
        <w:rPr>
          <w:rFonts w:hint="eastAsia"/>
          <w:lang w:val="en-US" w:eastAsia="zh-CN"/>
        </w:rPr>
      </w:pPr>
      <w:bookmarkStart w:id="325" w:name="_Toc23676"/>
      <w:bookmarkStart w:id="326" w:name="_Toc8968"/>
      <w:bookmarkStart w:id="327" w:name="_Toc28011"/>
      <w:bookmarkStart w:id="328" w:name="_Toc4015"/>
      <w:bookmarkStart w:id="329" w:name="_Toc23850"/>
      <w:bookmarkStart w:id="330" w:name="_Toc4523"/>
      <w:r>
        <w:rPr>
          <w:rFonts w:hint="eastAsia"/>
          <w:lang w:val="en-US" w:eastAsia="zh-CN"/>
        </w:rPr>
        <w:t>（一）主要经验及做法</w:t>
      </w:r>
      <w:bookmarkEnd w:id="325"/>
      <w:bookmarkEnd w:id="326"/>
      <w:bookmarkEnd w:id="327"/>
      <w:bookmarkEnd w:id="328"/>
      <w:bookmarkEnd w:id="329"/>
      <w:bookmarkEnd w:id="330"/>
    </w:p>
    <w:p w14:paraId="6AA1B37A">
      <w:pPr>
        <w:bidi w:val="0"/>
        <w:rPr>
          <w:rFonts w:hint="eastAsia"/>
          <w:lang w:val="en-US" w:eastAsia="zh-CN"/>
        </w:rPr>
      </w:pPr>
      <w:r>
        <w:rPr>
          <w:rFonts w:hint="eastAsia"/>
          <w:lang w:val="en-US" w:eastAsia="zh-CN"/>
        </w:rPr>
        <w:t>1.建立资格复核与问题整改闭环机制，常态化组织乡镇开展补贴对象资格线下复核，主动筛查长期未动态更新的享受人员信息，一旦核查发现已故人员违规领取补贴，立即办理停发手续并追缴多发资金，2025年累计追回违规领取残疾人两项补贴360元，实现问题闭环处置。同时搭建多部门信息比对渠道，初步建立资格动态核查基础流程，从源头降低错发、冒领风险。</w:t>
      </w:r>
    </w:p>
    <w:p w14:paraId="087CA4AB">
      <w:pPr>
        <w:bidi w:val="0"/>
        <w:rPr>
          <w:rFonts w:hint="eastAsia"/>
          <w:lang w:val="en-US" w:eastAsia="zh-CN"/>
        </w:rPr>
      </w:pPr>
      <w:r>
        <w:rPr>
          <w:rFonts w:hint="eastAsia"/>
          <w:lang w:val="en-US" w:eastAsia="zh-CN"/>
        </w:rPr>
        <w:t>2.推进多部门信息共享比对，逐步实现补贴对象资格动态核查，从源头减少错发、冒领问题，提升了补贴发放的精准度；规范追回资金管理流程，对追回的违规补贴资金，建立专项台账，明确追回金额、对象、时间节点，确保资金全额缴回，实现了问题资金的规范处置。</w:t>
      </w:r>
    </w:p>
    <w:p w14:paraId="220A7871">
      <w:pPr>
        <w:bidi w:val="0"/>
        <w:rPr>
          <w:rFonts w:hint="eastAsia" w:ascii="方正仿宋_GBK" w:hAnsi="方正仿宋_GBK" w:eastAsia="方正仿宋_GBK" w:cs="方正仿宋_GBK"/>
          <w:b w:val="0"/>
          <w:bCs w:val="0"/>
          <w:highlight w:val="none"/>
          <w:lang w:val="en-US" w:eastAsia="zh-CN"/>
        </w:rPr>
      </w:pPr>
      <w:bookmarkStart w:id="331" w:name="_Toc9324"/>
      <w:bookmarkStart w:id="332" w:name="_Toc22453"/>
      <w:bookmarkStart w:id="333" w:name="_Toc12521"/>
      <w:r>
        <w:rPr>
          <w:rFonts w:hint="eastAsia"/>
          <w:lang w:val="en-US" w:eastAsia="zh-CN"/>
        </w:rPr>
        <w:t>3.优化服务与宣传，提升政策知晓度和群众获得感，通过村（社区）公告、入户走访、政策咨询等方式，向残疾人及家属宣传残疾人两项补贴的申请条件、办理流程和发放标准，同时为行动不便的残疾人提供代办、上门核验等便民服务，保障了符合条件的残疾人及时享受政策福利。</w:t>
      </w:r>
    </w:p>
    <w:p w14:paraId="645483D4">
      <w:pPr>
        <w:pStyle w:val="6"/>
        <w:bidi w:val="0"/>
        <w:rPr>
          <w:rFonts w:hint="eastAsia"/>
          <w:lang w:val="en-US" w:eastAsia="zh-CN"/>
        </w:rPr>
      </w:pPr>
      <w:bookmarkStart w:id="334" w:name="_Toc17450"/>
      <w:bookmarkStart w:id="335" w:name="_Toc13699"/>
      <w:bookmarkStart w:id="336" w:name="_Toc23674"/>
      <w:r>
        <w:rPr>
          <w:rFonts w:hint="eastAsia"/>
          <w:lang w:val="en-US" w:eastAsia="zh-CN"/>
        </w:rPr>
        <w:t>（二）存在问题及原因分析</w:t>
      </w:r>
      <w:bookmarkEnd w:id="331"/>
      <w:bookmarkEnd w:id="332"/>
      <w:bookmarkEnd w:id="333"/>
      <w:bookmarkEnd w:id="334"/>
      <w:bookmarkEnd w:id="335"/>
      <w:bookmarkEnd w:id="336"/>
    </w:p>
    <w:p w14:paraId="12CDAC31">
      <w:pPr>
        <w:bidi w:val="0"/>
        <w:rPr>
          <w:rFonts w:hint="eastAsia"/>
          <w:lang w:val="en-US" w:eastAsia="zh-CN"/>
        </w:rPr>
      </w:pPr>
      <w:bookmarkStart w:id="337" w:name="_Toc15379"/>
      <w:bookmarkStart w:id="338" w:name="_Toc27149"/>
      <w:bookmarkStart w:id="339" w:name="_Toc26121"/>
      <w:r>
        <w:rPr>
          <w:rFonts w:hint="eastAsia"/>
          <w:lang w:val="en-US" w:eastAsia="zh-CN"/>
        </w:rPr>
        <w:t>1.</w:t>
      </w:r>
      <w:bookmarkEnd w:id="337"/>
      <w:bookmarkEnd w:id="338"/>
      <w:bookmarkEnd w:id="339"/>
      <w:r>
        <w:rPr>
          <w:rFonts w:hint="eastAsia"/>
          <w:lang w:val="en-US" w:eastAsia="zh-CN"/>
        </w:rPr>
        <w:t>出现往年缺口资金次年统筹化解与年末资金缺口。出现2025年1月支付2024年12月缺口补助资金，2025年1月支付2024年12月困难残疾人生活补贴27.22万元、重度残疾人护理补贴27.41万元，属于跨期垫付；2025年12月出现39.46万元资金缺口，影响补贴按时足额发放。原因分析：因拨付上年度遗留的补贴资金缺口，占用了本年度的预算资金额度，导致本年度可用于当期发放的资金不足，形成本年度资金缺口。</w:t>
      </w:r>
    </w:p>
    <w:p w14:paraId="52C733E1">
      <w:pPr>
        <w:bidi w:val="0"/>
        <w:rPr>
          <w:rFonts w:hint="eastAsia"/>
          <w:lang w:val="en-US" w:eastAsia="zh-CN"/>
        </w:rPr>
      </w:pPr>
      <w:r>
        <w:rPr>
          <w:rFonts w:hint="eastAsia"/>
          <w:lang w:val="en-US" w:eastAsia="zh-CN"/>
        </w:rPr>
        <w:t>2.跨部门信息联动不足，补贴对象动态更新存在滞后。项目单位虽有人工季度复核机制，但未建立公安、殡葬部门死亡信息月度自动推送机制，人员亡故信息更新存在滞后间隔，无法实时同步更新补贴对象台账，未能做到人员变动当日停发补贴，产生少量多领补贴需追回的情况。全年追回已故人员多领重度残疾人护理补贴、困难残疾人生活补贴共360元。</w:t>
      </w:r>
    </w:p>
    <w:p w14:paraId="182E47CF">
      <w:pPr>
        <w:pStyle w:val="5"/>
        <w:bidi w:val="0"/>
        <w:rPr>
          <w:rFonts w:hint="eastAsia"/>
          <w:lang w:val="en-US" w:eastAsia="zh-CN"/>
        </w:rPr>
      </w:pPr>
      <w:bookmarkStart w:id="340" w:name="_Toc31519"/>
      <w:bookmarkStart w:id="341" w:name="_Toc32753"/>
      <w:bookmarkStart w:id="342" w:name="_Toc9721"/>
      <w:bookmarkStart w:id="343" w:name="_Toc15963"/>
      <w:bookmarkStart w:id="344" w:name="_Toc6079"/>
      <w:bookmarkStart w:id="345" w:name="_Toc14186"/>
      <w:r>
        <w:rPr>
          <w:rFonts w:hint="eastAsia"/>
          <w:lang w:val="en-US" w:eastAsia="zh-CN"/>
        </w:rPr>
        <w:t>六、有关建议</w:t>
      </w:r>
      <w:bookmarkEnd w:id="340"/>
      <w:bookmarkEnd w:id="341"/>
      <w:bookmarkEnd w:id="342"/>
      <w:bookmarkEnd w:id="343"/>
      <w:bookmarkEnd w:id="344"/>
      <w:bookmarkEnd w:id="345"/>
    </w:p>
    <w:p w14:paraId="49761BEC">
      <w:pPr>
        <w:bidi w:val="0"/>
        <w:rPr>
          <w:rFonts w:hint="eastAsia"/>
          <w:lang w:val="en-US" w:eastAsia="zh-CN"/>
        </w:rPr>
      </w:pPr>
      <w:r>
        <w:rPr>
          <w:rFonts w:hint="eastAsia"/>
          <w:lang w:val="en-US" w:eastAsia="zh-CN"/>
        </w:rPr>
        <w:t>1.优先通过专项补助解决上年度遗留资金缺口，避免挤占本年度预算；加强预算执行动态监控，提前预警资金缺口风险，及时优化调度计划。</w:t>
      </w:r>
    </w:p>
    <w:p w14:paraId="3A8167B6">
      <w:pPr>
        <w:bidi w:val="0"/>
        <w:rPr>
          <w:rFonts w:hint="eastAsia"/>
          <w:lang w:val="en-US" w:eastAsia="zh-CN"/>
        </w:rPr>
      </w:pPr>
      <w:r>
        <w:rPr>
          <w:rFonts w:hint="eastAsia"/>
          <w:lang w:val="en-US" w:eastAsia="zh-CN"/>
        </w:rPr>
        <w:t>2.健全跨部门信息共享机制，提升动态管理时效性。对接公安户籍、殡葬管理部门，建立每月人员亡故信息自动推送、台账同步更新机制，完善残疾人两项补贴动态数据库；对死亡、低保退出、残疾证失效等不再符合补贴条件人员，实现当月核查、当月停发，最大限度减少补贴多发、追缴工作量。</w:t>
      </w:r>
    </w:p>
    <w:p w14:paraId="7F1EFE58">
      <w:pPr>
        <w:pStyle w:val="5"/>
        <w:bidi w:val="0"/>
        <w:rPr>
          <w:rFonts w:hint="eastAsia"/>
          <w:lang w:val="en-US" w:eastAsia="zh-CN"/>
        </w:rPr>
      </w:pPr>
      <w:bookmarkStart w:id="346" w:name="_Toc15576"/>
      <w:bookmarkStart w:id="347" w:name="_Toc20548"/>
      <w:bookmarkStart w:id="348" w:name="_Toc15185"/>
      <w:bookmarkStart w:id="349" w:name="_Toc5593"/>
      <w:bookmarkStart w:id="350" w:name="_Toc31383"/>
      <w:r>
        <w:rPr>
          <w:rFonts w:hint="eastAsia"/>
          <w:lang w:val="en-US" w:eastAsia="zh-CN"/>
        </w:rPr>
        <w:t>七、其他需要说明的问题</w:t>
      </w:r>
      <w:bookmarkEnd w:id="346"/>
      <w:bookmarkEnd w:id="347"/>
      <w:bookmarkEnd w:id="348"/>
      <w:bookmarkEnd w:id="349"/>
      <w:bookmarkEnd w:id="350"/>
    </w:p>
    <w:p w14:paraId="00C3C996">
      <w:pPr>
        <w:bidi w:val="0"/>
        <w:rPr>
          <w:rFonts w:hint="eastAsia"/>
          <w:lang w:val="en-US" w:eastAsia="zh-CN"/>
        </w:rPr>
      </w:pPr>
      <w:r>
        <w:rPr>
          <w:rFonts w:hint="eastAsia"/>
          <w:lang w:val="en-US" w:eastAsia="zh-CN"/>
        </w:rPr>
        <w:t>莎车县民政局对上述项目支出绩效评价报告内反映内容的真实性、完整性负责，接受上级部门及社会公众监督。</w:t>
      </w:r>
    </w:p>
    <w:p w14:paraId="55FFDD8D">
      <w:pPr>
        <w:pStyle w:val="5"/>
        <w:bidi w:val="0"/>
        <w:rPr>
          <w:rFonts w:hint="eastAsia"/>
          <w:lang w:val="en-US" w:eastAsia="zh-CN"/>
        </w:rPr>
      </w:pPr>
      <w:bookmarkStart w:id="351" w:name="_Toc28671"/>
      <w:bookmarkStart w:id="352" w:name="_Toc19011"/>
      <w:bookmarkStart w:id="353" w:name="_Toc22216"/>
      <w:r>
        <w:rPr>
          <w:rFonts w:hint="eastAsia"/>
          <w:lang w:val="en-US" w:eastAsia="zh-CN"/>
        </w:rPr>
        <w:t>八、绩效评价结果应用建议</w:t>
      </w:r>
      <w:bookmarkEnd w:id="351"/>
      <w:bookmarkEnd w:id="352"/>
      <w:bookmarkEnd w:id="353"/>
    </w:p>
    <w:p w14:paraId="568A3D25">
      <w:pPr>
        <w:bidi w:val="0"/>
        <w:rPr>
          <w:rFonts w:hint="eastAsia"/>
          <w:lang w:val="en-US" w:eastAsia="zh-CN"/>
        </w:rPr>
      </w:pPr>
      <w:r>
        <w:rPr>
          <w:rFonts w:hint="eastAsia"/>
          <w:lang w:val="en-US" w:eastAsia="zh-CN"/>
        </w:rPr>
        <w:t>该项目综合评价得分为99分，评定等级为“优”，为有效提高财政预算资金的经济性、效率性、效益性和公平性，建议将本次绩效评价结果作为预算单位次年预算编制的重要依据，并优化支出结构、完善相关办法、改进预算管理。建议根据政策制度，结合莎车县党委、莎车县人民政府工作安排以及本级财力情况等因素，原则上优先予以保障本项目。</w:t>
      </w:r>
    </w:p>
    <w:p w14:paraId="66410E14">
      <w:pPr>
        <w:bidi w:val="0"/>
        <w:rPr>
          <w:rFonts w:hint="default"/>
          <w:lang w:val="en-US" w:eastAsia="zh-CN"/>
        </w:rPr>
      </w:pPr>
      <w:r>
        <w:rPr>
          <w:rFonts w:hint="default"/>
          <w:lang w:val="en-US" w:eastAsia="zh-CN"/>
        </w:rPr>
        <w:t>根据本次绩效评价报告中所反馈的问题和建议，由项目实施单位及时研究制定整改措施，积极落实整改要求，切实改进资金管理和项目管理，并在规定的时间内，将整改情况向莎车县财政局行文报告。</w:t>
      </w:r>
    </w:p>
    <w:p w14:paraId="62E071C5">
      <w:pPr>
        <w:bidi w:val="0"/>
        <w:rPr>
          <w:rFonts w:hint="default"/>
          <w:lang w:val="en-US" w:eastAsia="zh-CN"/>
        </w:rPr>
      </w:pPr>
      <w:r>
        <w:rPr>
          <w:rFonts w:hint="default"/>
          <w:lang w:val="en-US" w:eastAsia="zh-CN"/>
        </w:rPr>
        <w:t>积极推进评价结果和评价报告等绩效信息的公开。按照政府信息公开有关规定，由莎车县财政局将本次绩效评价的结果信息进行公开，加强社会和舆论监督，提高财政资金使用透明度。</w:t>
      </w:r>
    </w:p>
    <w:p w14:paraId="30B51030">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default"/>
          <w:lang w:val="en-US" w:eastAsia="zh-CN"/>
        </w:rPr>
      </w:pPr>
    </w:p>
    <w:p w14:paraId="71D554A3">
      <w:pPr>
        <w:bidi w:val="0"/>
        <w:rPr>
          <w:rFonts w:hint="eastAsia"/>
          <w:lang w:val="en-US" w:eastAsia="zh-CN"/>
        </w:rPr>
      </w:pPr>
      <w:bookmarkStart w:id="354" w:name="_Toc23068"/>
      <w:bookmarkStart w:id="355" w:name="_Toc8783"/>
      <w:bookmarkStart w:id="356" w:name="_Toc30521"/>
      <w:bookmarkStart w:id="357" w:name="_Toc6566"/>
      <w:bookmarkStart w:id="358" w:name="_Toc21999"/>
      <w:bookmarkStart w:id="359" w:name="_Toc31955"/>
      <w:bookmarkStart w:id="360" w:name="_Toc24527"/>
      <w:bookmarkStart w:id="361" w:name="_Toc29632"/>
      <w:bookmarkStart w:id="362" w:name="_Toc28393"/>
      <w:bookmarkStart w:id="363" w:name="_Toc22823"/>
      <w:bookmarkStart w:id="364" w:name="_Toc31700"/>
      <w:bookmarkStart w:id="365" w:name="_Toc877"/>
      <w:bookmarkStart w:id="366" w:name="OLE_LINK5"/>
      <w:r>
        <w:rPr>
          <w:rFonts w:hint="eastAsia"/>
          <w:lang w:val="en-US" w:eastAsia="zh-CN"/>
        </w:rPr>
        <w:t>附件1:2025年莎车县困难残疾人生活补贴和重度残疾人护理补贴项目支出绩效评价指标体系及打分表</w:t>
      </w:r>
      <w:bookmarkEnd w:id="354"/>
      <w:bookmarkEnd w:id="355"/>
      <w:bookmarkEnd w:id="356"/>
      <w:bookmarkEnd w:id="357"/>
      <w:bookmarkEnd w:id="358"/>
      <w:bookmarkEnd w:id="359"/>
      <w:bookmarkEnd w:id="360"/>
      <w:bookmarkEnd w:id="361"/>
      <w:bookmarkEnd w:id="362"/>
      <w:bookmarkEnd w:id="363"/>
      <w:bookmarkEnd w:id="364"/>
      <w:bookmarkEnd w:id="365"/>
    </w:p>
    <w:p w14:paraId="1DA5ED17">
      <w:pPr>
        <w:bidi w:val="0"/>
        <w:rPr>
          <w:rFonts w:hint="eastAsia"/>
          <w:lang w:val="en-US" w:eastAsia="zh-CN"/>
        </w:rPr>
      </w:pPr>
      <w:bookmarkStart w:id="367" w:name="_Toc12474"/>
      <w:bookmarkStart w:id="368" w:name="_Toc5189"/>
      <w:bookmarkStart w:id="369" w:name="_Toc22291"/>
      <w:bookmarkStart w:id="370" w:name="_Toc23188"/>
      <w:bookmarkStart w:id="371" w:name="_Toc13970"/>
      <w:bookmarkStart w:id="372" w:name="_Toc13505"/>
      <w:bookmarkStart w:id="373" w:name="_Toc27071"/>
      <w:bookmarkStart w:id="374" w:name="_Toc8612"/>
      <w:bookmarkStart w:id="375" w:name="_Toc4925"/>
      <w:bookmarkStart w:id="376" w:name="_Toc29223"/>
      <w:bookmarkStart w:id="377" w:name="_Toc6946"/>
      <w:bookmarkStart w:id="378" w:name="_Toc2545"/>
      <w:bookmarkStart w:id="379" w:name="OLE_LINK3"/>
      <w:r>
        <w:rPr>
          <w:rFonts w:hint="eastAsia"/>
          <w:lang w:val="en-US" w:eastAsia="zh-CN"/>
        </w:rPr>
        <w:t>附件2：</w:t>
      </w:r>
      <w:bookmarkEnd w:id="367"/>
      <w:bookmarkEnd w:id="368"/>
      <w:bookmarkEnd w:id="369"/>
      <w:bookmarkEnd w:id="370"/>
      <w:bookmarkEnd w:id="371"/>
      <w:bookmarkEnd w:id="372"/>
      <w:bookmarkEnd w:id="373"/>
      <w:bookmarkEnd w:id="374"/>
      <w:bookmarkEnd w:id="375"/>
      <w:bookmarkEnd w:id="376"/>
      <w:bookmarkEnd w:id="377"/>
      <w:bookmarkEnd w:id="378"/>
      <w:bookmarkEnd w:id="379"/>
      <w:r>
        <w:rPr>
          <w:rFonts w:hint="eastAsia"/>
          <w:lang w:val="en-US" w:eastAsia="zh-CN"/>
        </w:rPr>
        <w:t>2025年莎车县困难残疾人生活补贴和重度残疾人护理补贴项目基础信息采集表</w:t>
      </w:r>
    </w:p>
    <w:p w14:paraId="32CAB137">
      <w:pPr>
        <w:bidi w:val="0"/>
        <w:rPr>
          <w:rFonts w:hint="eastAsia"/>
          <w:lang w:val="en-US" w:eastAsia="zh-CN"/>
        </w:rPr>
      </w:pPr>
      <w:bookmarkStart w:id="380" w:name="_Toc15602"/>
      <w:bookmarkStart w:id="381" w:name="_Toc6788"/>
      <w:bookmarkStart w:id="382" w:name="_Toc14045"/>
      <w:bookmarkStart w:id="383" w:name="_Toc20076"/>
      <w:bookmarkStart w:id="384" w:name="_Toc11376"/>
      <w:bookmarkStart w:id="385" w:name="_Toc14727"/>
      <w:bookmarkStart w:id="386" w:name="_Toc16105"/>
      <w:bookmarkStart w:id="387" w:name="_Toc1115"/>
      <w:bookmarkStart w:id="388" w:name="_Toc25749"/>
      <w:bookmarkStart w:id="389" w:name="_Toc19936"/>
      <w:bookmarkStart w:id="390" w:name="_Toc25457"/>
      <w:bookmarkStart w:id="391" w:name="_Toc25213"/>
      <w:r>
        <w:rPr>
          <w:rFonts w:hint="eastAsia"/>
          <w:lang w:val="zh-CN" w:eastAsia="zh-CN"/>
        </w:rPr>
        <w:t>附件</w:t>
      </w:r>
      <w:r>
        <w:rPr>
          <w:rFonts w:hint="eastAsia"/>
          <w:lang w:val="en-US" w:eastAsia="zh-CN"/>
        </w:rPr>
        <w:t>3：访谈记录</w:t>
      </w:r>
      <w:bookmarkEnd w:id="380"/>
      <w:bookmarkEnd w:id="381"/>
      <w:bookmarkEnd w:id="382"/>
      <w:bookmarkEnd w:id="383"/>
      <w:bookmarkEnd w:id="384"/>
      <w:bookmarkEnd w:id="385"/>
      <w:bookmarkEnd w:id="386"/>
      <w:bookmarkEnd w:id="387"/>
      <w:bookmarkEnd w:id="388"/>
      <w:bookmarkEnd w:id="389"/>
      <w:bookmarkEnd w:id="390"/>
      <w:bookmarkEnd w:id="391"/>
    </w:p>
    <w:p w14:paraId="62A76A00">
      <w:pPr>
        <w:bidi w:val="0"/>
        <w:rPr>
          <w:rFonts w:hint="eastAsia"/>
          <w:lang w:val="en-US" w:eastAsia="zh-CN"/>
        </w:rPr>
      </w:pPr>
      <w:bookmarkStart w:id="392" w:name="_Toc13297"/>
      <w:bookmarkStart w:id="393" w:name="_Toc18189"/>
      <w:bookmarkStart w:id="394" w:name="_Toc22066"/>
      <w:bookmarkStart w:id="395" w:name="_Toc29673"/>
      <w:bookmarkStart w:id="396" w:name="_Toc131"/>
      <w:bookmarkStart w:id="397" w:name="_Toc22506"/>
      <w:bookmarkStart w:id="398" w:name="_Toc18452"/>
      <w:bookmarkStart w:id="399" w:name="_Toc1354"/>
      <w:bookmarkStart w:id="400" w:name="_Toc19374"/>
      <w:bookmarkStart w:id="401" w:name="_Toc20930"/>
      <w:bookmarkStart w:id="402" w:name="_Toc13624"/>
      <w:bookmarkStart w:id="403" w:name="_Toc31266"/>
      <w:r>
        <w:rPr>
          <w:rFonts w:hint="eastAsia"/>
          <w:lang w:val="en-US" w:eastAsia="zh-CN"/>
        </w:rPr>
        <w:t>附件4：财政局整体绩效评价报告确认单</w:t>
      </w:r>
      <w:bookmarkEnd w:id="392"/>
      <w:bookmarkEnd w:id="393"/>
      <w:bookmarkEnd w:id="394"/>
      <w:bookmarkEnd w:id="395"/>
      <w:bookmarkEnd w:id="396"/>
      <w:bookmarkEnd w:id="397"/>
      <w:bookmarkEnd w:id="398"/>
      <w:bookmarkEnd w:id="399"/>
      <w:bookmarkEnd w:id="400"/>
      <w:bookmarkEnd w:id="401"/>
      <w:bookmarkEnd w:id="402"/>
      <w:bookmarkEnd w:id="403"/>
    </w:p>
    <w:p w14:paraId="2AC07903">
      <w:pPr>
        <w:bidi w:val="0"/>
        <w:rPr>
          <w:rFonts w:hint="default"/>
          <w:lang w:val="en-US" w:eastAsia="zh-CN"/>
        </w:rPr>
      </w:pPr>
      <w:bookmarkStart w:id="404" w:name="_Toc25465"/>
      <w:bookmarkStart w:id="405" w:name="_Toc2940"/>
      <w:bookmarkStart w:id="406" w:name="_Toc25268"/>
      <w:bookmarkStart w:id="407" w:name="_Toc8480"/>
      <w:bookmarkStart w:id="408" w:name="_Toc14256"/>
      <w:bookmarkStart w:id="409" w:name="_Toc12544"/>
      <w:bookmarkStart w:id="410" w:name="_Toc434"/>
      <w:bookmarkStart w:id="411" w:name="_Toc16821"/>
      <w:bookmarkStart w:id="412" w:name="_Toc11144"/>
      <w:bookmarkStart w:id="413" w:name="_Toc25238"/>
      <w:bookmarkStart w:id="414" w:name="_Toc2521"/>
      <w:bookmarkStart w:id="415" w:name="_Toc18537"/>
      <w:r>
        <w:rPr>
          <w:rFonts w:hint="eastAsia"/>
          <w:lang w:val="en-US" w:eastAsia="zh-CN"/>
        </w:rPr>
        <w:t>附件5：预算单位整体绩效评价报告确认单</w:t>
      </w:r>
      <w:bookmarkEnd w:id="404"/>
      <w:bookmarkEnd w:id="405"/>
      <w:bookmarkEnd w:id="406"/>
      <w:bookmarkEnd w:id="407"/>
      <w:bookmarkEnd w:id="408"/>
      <w:bookmarkEnd w:id="409"/>
      <w:bookmarkEnd w:id="410"/>
      <w:bookmarkEnd w:id="411"/>
      <w:bookmarkEnd w:id="412"/>
      <w:bookmarkEnd w:id="413"/>
      <w:bookmarkEnd w:id="414"/>
      <w:bookmarkEnd w:id="415"/>
    </w:p>
    <w:p w14:paraId="0E7D979A">
      <w:pPr>
        <w:bidi w:val="0"/>
        <w:rPr>
          <w:rFonts w:hint="eastAsia"/>
          <w:lang w:val="zh-CN" w:eastAsia="zh-CN"/>
        </w:rPr>
      </w:pPr>
      <w:bookmarkStart w:id="416" w:name="_Toc19903"/>
      <w:bookmarkStart w:id="417" w:name="_Toc12066"/>
      <w:bookmarkStart w:id="418" w:name="_Toc22984"/>
      <w:bookmarkStart w:id="419" w:name="_Toc22323"/>
      <w:bookmarkStart w:id="420" w:name="_Toc13606"/>
      <w:bookmarkStart w:id="421" w:name="_Toc28510"/>
      <w:bookmarkStart w:id="422" w:name="_Toc25170"/>
      <w:bookmarkStart w:id="423" w:name="_Toc18079"/>
      <w:bookmarkStart w:id="424" w:name="_Toc17532"/>
      <w:bookmarkStart w:id="425" w:name="_Toc32425"/>
      <w:bookmarkStart w:id="426" w:name="_Toc17741"/>
      <w:bookmarkStart w:id="427" w:name="_Toc7033"/>
      <w:r>
        <w:rPr>
          <w:rFonts w:hint="eastAsia"/>
          <w:lang w:val="zh-CN" w:eastAsia="zh-CN"/>
        </w:rPr>
        <w:t>附件</w:t>
      </w:r>
      <w:r>
        <w:rPr>
          <w:rFonts w:hint="eastAsia"/>
          <w:lang w:val="en-US" w:eastAsia="zh-CN"/>
        </w:rPr>
        <w:t>6：</w:t>
      </w:r>
      <w:r>
        <w:rPr>
          <w:rFonts w:hint="eastAsia"/>
          <w:lang w:val="zh-CN" w:eastAsia="zh-CN"/>
        </w:rPr>
        <w:t>调查问卷结果分析报告及调查问卷样表</w:t>
      </w:r>
      <w:bookmarkEnd w:id="416"/>
      <w:bookmarkEnd w:id="417"/>
      <w:bookmarkEnd w:id="418"/>
      <w:bookmarkEnd w:id="419"/>
      <w:bookmarkEnd w:id="420"/>
      <w:bookmarkEnd w:id="421"/>
      <w:bookmarkEnd w:id="422"/>
      <w:bookmarkEnd w:id="423"/>
      <w:bookmarkEnd w:id="424"/>
      <w:bookmarkEnd w:id="425"/>
      <w:bookmarkEnd w:id="426"/>
      <w:bookmarkEnd w:id="427"/>
    </w:p>
    <w:p w14:paraId="5BD97D74">
      <w:pPr>
        <w:bidi w:val="0"/>
        <w:rPr>
          <w:rFonts w:hint="eastAsia"/>
          <w:lang w:val="en-US" w:eastAsia="zh-CN"/>
        </w:rPr>
        <w:sectPr>
          <w:footerReference r:id="rId6" w:type="default"/>
          <w:pgSz w:w="11906" w:h="16838"/>
          <w:pgMar w:top="1984" w:right="1531" w:bottom="1701" w:left="1531" w:header="851" w:footer="1304" w:gutter="0"/>
          <w:pgNumType w:fmt="numberInDash" w:start="1"/>
          <w:cols w:space="0" w:num="1"/>
          <w:rtlGutter w:val="0"/>
          <w:docGrid w:type="lines" w:linePitch="312" w:charSpace="0"/>
        </w:sectPr>
      </w:pPr>
      <w:bookmarkStart w:id="428" w:name="_Toc15456"/>
      <w:bookmarkStart w:id="429" w:name="_Toc26922"/>
      <w:bookmarkStart w:id="430" w:name="_Toc17098"/>
      <w:bookmarkStart w:id="431" w:name="_Toc15193"/>
      <w:bookmarkStart w:id="432" w:name="_Toc30800"/>
      <w:bookmarkStart w:id="433" w:name="_Toc17759"/>
      <w:bookmarkStart w:id="434" w:name="_Toc5609"/>
      <w:bookmarkStart w:id="435" w:name="_Toc21016"/>
      <w:bookmarkStart w:id="436" w:name="_Toc29263"/>
      <w:bookmarkStart w:id="437" w:name="_Toc1946"/>
      <w:bookmarkStart w:id="438" w:name="_Toc32440"/>
      <w:bookmarkStart w:id="439" w:name="_Toc9580"/>
      <w:r>
        <w:rPr>
          <w:rFonts w:hint="eastAsia"/>
          <w:lang w:val="zh-CN" w:eastAsia="zh-CN"/>
        </w:rPr>
        <w:t>附件</w:t>
      </w:r>
      <w:r>
        <w:rPr>
          <w:rFonts w:hint="eastAsia"/>
          <w:lang w:val="en-US" w:eastAsia="zh-CN"/>
        </w:rPr>
        <w:t>7：工作记录图片</w:t>
      </w:r>
      <w:bookmarkEnd w:id="428"/>
      <w:bookmarkEnd w:id="429"/>
      <w:bookmarkEnd w:id="430"/>
      <w:bookmarkEnd w:id="431"/>
      <w:bookmarkEnd w:id="432"/>
      <w:bookmarkEnd w:id="433"/>
      <w:bookmarkEnd w:id="434"/>
      <w:bookmarkEnd w:id="435"/>
      <w:bookmarkEnd w:id="436"/>
      <w:bookmarkEnd w:id="437"/>
      <w:bookmarkEnd w:id="438"/>
      <w:bookmarkEnd w:id="439"/>
    </w:p>
    <w:bookmarkEnd w:id="366"/>
    <w:p w14:paraId="033F29A4">
      <w:pPr>
        <w:pStyle w:val="6"/>
        <w:bidi w:val="0"/>
        <w:ind w:left="0" w:leftChars="0" w:firstLine="0" w:firstLineChars="0"/>
        <w:rPr>
          <w:rFonts w:hint="eastAsia"/>
          <w:lang w:val="en-US" w:eastAsia="zh-CN"/>
        </w:rPr>
      </w:pPr>
      <w:bookmarkStart w:id="440" w:name="_Toc7850"/>
      <w:bookmarkStart w:id="441" w:name="_Toc9685"/>
      <w:bookmarkStart w:id="442" w:name="_Toc19336"/>
      <w:r>
        <w:rPr>
          <w:rFonts w:hint="eastAsia"/>
          <w:lang w:val="en-US" w:eastAsia="zh-CN"/>
        </w:rPr>
        <w:t>附件1:2025年莎车县困难残疾人生活补贴和重度残疾人护理补贴项目绩效评价指标综合评分表</w:t>
      </w:r>
      <w:bookmarkEnd w:id="440"/>
      <w:bookmarkEnd w:id="441"/>
      <w:bookmarkEnd w:id="442"/>
    </w:p>
    <w:tbl>
      <w:tblPr>
        <w:tblStyle w:val="15"/>
        <w:tblW w:w="1347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765"/>
        <w:gridCol w:w="645"/>
        <w:gridCol w:w="480"/>
        <w:gridCol w:w="1027"/>
        <w:gridCol w:w="908"/>
        <w:gridCol w:w="1897"/>
        <w:gridCol w:w="2820"/>
        <w:gridCol w:w="2610"/>
        <w:gridCol w:w="750"/>
        <w:gridCol w:w="863"/>
      </w:tblGrid>
      <w:tr w14:paraId="361C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7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E094E">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一级指标</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B305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二级指标</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F0ECB">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D6A9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权重</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FDEF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指标解释</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17EE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标杆值</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B5DC2">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评价标准</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35D89">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评分规则</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147BF">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评分过程</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E584">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得分</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F5258">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得分率</w:t>
            </w:r>
          </w:p>
        </w:tc>
      </w:tr>
      <w:tr w14:paraId="61FD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700FE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决策（20分）</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50BD1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项目立项（5分）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5A57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立项依据充分性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55EB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2AA8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项目立项是否符合法律法规、相关政策、发展规划以及部门职责，用以反映和考核项目立项依据情况。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B418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充分</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E491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D72E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以上五项中，符合则得满分，否则扣除相应分数，扣完为止，具体扣分规则如下：若①至③不符合，则每一点扣30%的权重分；若④至⑤中不符合，则每一点扣20%的权重分。</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9C16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该项目依据《关于建立困难残疾人生活补贴和重度残疾人护理补贴制度的实施意见》（新政发〔2016〕44号）文件《关于提高全区困难残疾人生活补贴和重度残疾人护理补贴标准的通知》（新民发〔2024〕53号）《关于提前下达2025年自治区财政困难残疾人生活补贴和重度残疾人护理补贴补助资金的通知》（喀地财社〔2024〕67号）文件设立实施；该项目立项符合国家法律法规、国民经济发展规划，符合国务院印发《关于全面建立困难残疾人生活补贴和重度残疾人护理补贴制度的意见》（国发〔2015〕52号）文件，明确提出全面建立残疾人两项补贴制度，是保障残疾人生存发展权益、加快推进残疾人小康进程的核心举措，要求各地立足残疾人需求，完善残疾人社会保障体系，切实解决残疾人特殊生活困难和长期照护难题；该项目立项符合民政部、财政部、中国残联联合出台《关于进一步完善困难残疾人生活补贴和重度残疾人护理补贴制度的意见》（民发〔2021〕70号）文件，进一步细化制度完善要求，健全补贴对象覆盖、标准动态调整、申领流程优化等机制，推动两项补贴制度高质量发展，增进残疾人福祉，符合行业发展规划和政策要求；该项目立项符合《莎车县民政局配置内设机构和人员编制规定》中职责范围中的“贯彻落实有关残疾人权益保护政策，统筹推进残疾人福利制度建设和康复辅助器具产业发展”，项目立项与莎车县民政局部门职责范围相符，属于莎车县民政局履职所需。</w:t>
            </w:r>
          </w:p>
          <w:p w14:paraId="1755C3D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综上所述，该项目立项依据充分，根据评分标准，该指标不扣分，得3分。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6E03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3</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DE83A">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4F9B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CE717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F12F7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FD8D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立项程序规范性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E4C6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5470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项目申请、设立过程是否符合相关要求，用以反映和考核项目立项的规范情况。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91EA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合规</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C5CB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①项目是否按照规定的程序申请设立；②审批文件、材料是否符合相关要求；③事前是否已经过必要的可行性研究、专家论证、风险评估、绩效评估、集体决策。</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387F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项目是否按照规定的程序申请设立；②审批文件、材料是否符合相关要求；③事前是否已经过必要的可行性研究、专家论证、风险评估、绩效评估、集体决策。以上三项中，①至③每项满分1分，每发现一处不符扣0.5分，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0806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该项目为非基础建设类项目，不涉及发改立项批复流程，由莎车县民政局自行编制项目实施方案和项目预算申请计划；经查看，该项目申请设立过程中产生的相关文件，符合相关要求。该项目属于专项资金安排项目，由莎车县民政局严格按照《关于提高全区困难残疾人生活补贴和重度残疾人护理补贴标准的通知》（新民发〔2024〕53号）和《关于提前下达2025年自治区财政困难残疾人生活补贴和重度残疾人护理补贴补助资金的通知》（喀地财社〔2024〕67号）文件要求实施，根据决策依据编制工作计划和经费预算，经过与各部门县政府分管领导进行沟通、筛选确定经费预算计划，上党委会研究确定最终预算方案，由莎车县民政局制定方案提出申请，经地区审核批准后实施。</w:t>
            </w:r>
          </w:p>
          <w:p w14:paraId="1173E9F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综上所述，该项目立项程序规范，根据评分标准，该指标不扣分，得2分。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3FBA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2</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E267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218F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254AC0">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4DF82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绩效目标（5分）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5CCC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绩效目标合理性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DC25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39C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项目所设定的绩效目标是否依据充分，是否符合客观实际，用以反映和考核项目绩效目标与项目实施的相符情况。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FC3C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合理</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A5C7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①项目是否有绩效目标；②项目绩效目标与实际工作内容是否具有相关性；③项目预期产出效益和效果是否符合正常的业绩水平；④是否与预算确定的项目投资额或资金量相匹配。</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89F7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项目是否有绩效目标；②项目绩效目标与实际工作内容是否具有相关性；③项目预期产出效益和效果是否符合正常的业绩水平；④是否与预算确定的项目投资额或资金量相匹配。以上四项中，若①不符合，则此指标不得分；若①符合，则②③④分别占25%的权重分，符合则得分，否则扣除相应权重分，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4C70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该项目工作任务目标明确，制定了2025年莎车县困难残疾人生活补贴和重度残疾人护理补贴项目实施方案，该项目已设置年度绩效目标，具体内容为“项目预算总额2941万元，其中：自治区资金2941万元，用于发放全县11825名残疾人生活补贴和8771名重度残疾人护理补贴，补助标准均为120元/人/月，补助人员身份审核合格率达到100%，提升残疾人的生活质量”；明确了总体思路及目标、并对任务进行了详细分解，对目标进行了细化；该项目实际工作为：截至2025年12月31日，项目已支付2940.86万元，资金执行率为99.995%，基本全额执行，保障37个乡镇11825名困难残疾人12个月生活补贴和8771名重度残疾人12个月护理补贴，补助人员身份均符合相关规定，已按规定于每月15日前发放补助资金，项目实施有效提升了残疾人的生活质量；该项目按照绩效目标完成数量指标、质量指标、时效指标、成本指标，确保了符合领取条件的残疾人能够按时足额领取补助资金，提升了残疾人的生活质量，年度绩效目标完成，预期产出效益和效果符合正常的业绩水平。</w:t>
            </w:r>
          </w:p>
          <w:p w14:paraId="6BCF7D6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综上所述，该项目绩效目标设置合理，根据评分标准，该指标不扣分，得3分。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DD9BA">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3</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21B24">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403A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4"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AFB60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038FF5">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8215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绩效指标明确性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40EB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575E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依据绩效目标设定的绩效指标是否清晰、细化、可衡量等，用以反映和考核项目绩效目标的明细化情况。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C5C9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明确</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F8DA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①是否将项目绩效目标细化分解为具体的绩效指标；②是否通过清晰、可衡量的指标值予以体现；③是否与项目目标任务数或计划数相对应。</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F508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是否将项目绩效目标细化分解为具体的绩效指标；②绩效目标和指标具备明确性（目标是否指向明确）、可衡量性（通过可通过清晰、可衡量的指标予以体现）、可实现性（项目预期产出和效果符合正常的业绩水平）、相关性（绩效目标与预算的关联性）、时限性（有明确目标实现时间）。以上两项中，若①不符合，则此指标不得分；若①符合，则②中每小点占20%的权重分，符合则得分，否则扣除相应权重分，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2902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得出如下结论，该项目已将年度绩效目标进行细化为绩效指标体系，共设置一级指标4个，二级指标6个，三级指标9个，定量指标7个，定性指标2个，指标量化率为77.78%，量化率达70.00%。莎车县民政局已将该项目核心内容细化分解为具体的绩效指标，绩效指标明确。</w:t>
            </w:r>
          </w:p>
          <w:p w14:paraId="6C7D023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综上所述，该项目所设置绩效指标明确，根据评分标准，该指标不扣分，得2分。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956EA">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2</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DDE4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0E6C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9"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A8BE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7DA43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资金投入（10分）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BCAA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预算编制科学性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BAFE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671E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项目预算编制是否经过科学论证、有明确标准，资金额度与年度目标是否相适应，用以反映和考核项目预算编制的科学性、合理性情况。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55A9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科学</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E839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①预算编制是否经过科学论证；②预算内容与项目内容是否匹配；③预算额度测算依据是否充分，是否按照标准编制；④预算确定的项目投资额或资金量是否与工作任务相匹配。</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C896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预算编制是否经过科学论证；②预算内容与项目内容是否匹配；③预算额度测算依据是否充分，是否按照标准编制；④预算确定的项目投资额或资金量是否与工作任务相匹配。以上四项①至④分别占30%、30%、20%和20%的权重分，符合则得分，否则扣除相应权重分，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4AD1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通过查看项目预算编制草案，该项目预算编制根据自治区补助标准，结合上年度数据安排预算资金2941万元，预算编制较科学且经过论证；该项目预算申请内容为对符合条件的困难残疾人和重度残疾人按月发放补助资金；项目实际内容为按月支付困难残疾人生活补贴、重度残疾人护理补贴，预算申请与《2025年莎车县困难残疾人生活补贴和重度残疾人护理补贴项目实施方案》中涉及的项目内容匹配；该项目预算编制经过科学论证，内容与项目内容匹配，项目投资额与工作任务相匹配。</w:t>
            </w:r>
          </w:p>
          <w:p w14:paraId="0C1E467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综上所述，该项目预算编制经过科学论证，根据评分标准，该指标不扣分，得5分。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D2395">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C80A4">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7979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77B904">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B3E961">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170C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资金分配合理性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8BDA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64B7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项目预算资金分配是否有测算依据，与补助单位或地方实际是否相适应，用以反映和考核项目预算资金分配的科学性、合理性情况。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1A3E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合理</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94DC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①预算资金分配依据是否充分；②资金分配额度是否合理，与项目单位或地方实际是否相适应。</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8D8A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预算资金分配依据是否充分；②资金分配额度是否合理，与项目单位或地方实际是否相适应。以上两项分别占50%的权重分，符合则得分，否则扣除相应权重的100%、80%、60%、40%和20%的分值，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CED5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该项目实际分配资金以自治区补助标准，结合上年度数据安排预算，根据《关于提高全区困难残疾人生活补贴和重度残疾人护理补贴标准的通知》（新民发〔2024〕53号）《关于提前下达2025年自治区财政困难残疾人生活补贴和重度残疾人护理补贴补助资金的通知》（喀地财社〔2024〕67号）文件为依据，预算资金分配依据充分。根据财政综合管理信息系统指标额度显示，该项目实际到位资金2941万元，实际分配资金与莎车县民政局提交申请的资金额度一致，资金分配额度合理，与莎车县民政局实际需求相适应。该项目资金分配合理，项目资金预算草案由莎车县民政局制定，地区审核，资金分配与实际相适应。</w:t>
            </w:r>
          </w:p>
          <w:p w14:paraId="6D474D7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综上所述，该项目资金分配合理，根据评分标准，该指标不扣分，得5分。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E005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05C5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79C8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494A1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过程（20分）</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6E81D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资金管理（15分）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2C66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资金到位率</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7E3F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478A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实际到位资金与预算资金的比率，用以反映和考核资金落实情况对项目实施的总体保障程度。</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E829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100%</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9043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资金到位率=（实际到位资金/预算资金）×100%。实际到位资金：一定时期（本年度或项目期）内落实到具体项目的资金。预算资金：一定时期（本年度或项目期）内预算安排到具体项目的资金。</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71A1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资金到位率=（实际到位资金/预算资金）×100%。项目完成且资金到位数满足年度预算规模需求，得</w:t>
            </w:r>
            <w:r>
              <w:rPr>
                <w:rFonts w:hint="eastAsia" w:ascii="方正仿宋_GBK" w:hAnsi="方正仿宋_GBK" w:cs="方正仿宋_GBK"/>
                <w:i w:val="0"/>
                <w:iCs w:val="0"/>
                <w:color w:val="auto"/>
                <w:kern w:val="0"/>
                <w:sz w:val="20"/>
                <w:szCs w:val="20"/>
                <w:u w:val="none"/>
                <w:lang w:val="en-US" w:eastAsia="zh-CN" w:bidi="ar"/>
              </w:rPr>
              <w:t>5</w:t>
            </w:r>
            <w:r>
              <w:rPr>
                <w:rFonts w:hint="eastAsia" w:ascii="方正仿宋_GBK" w:hAnsi="方正仿宋_GBK" w:eastAsia="方正仿宋_GBK" w:cs="方正仿宋_GBK"/>
                <w:i w:val="0"/>
                <w:iCs w:val="0"/>
                <w:color w:val="auto"/>
                <w:kern w:val="0"/>
                <w:sz w:val="20"/>
                <w:szCs w:val="20"/>
                <w:u w:val="none"/>
                <w:lang w:val="en-US" w:eastAsia="zh-CN" w:bidi="ar"/>
              </w:rPr>
              <w:t>分；项目尚未完成，资金到位率小于100%且大于等于80%的得2分，资金到位率小于80%且大于等于60%的得1.50分，资金到位率小于60%的不得分。</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4E06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该项目预算资金2941万元，其中：中央资金0万元，自治区资金2941万元，其他资金0万元，实际到位资金2941万元，资金到位率=（实际到位资金/预算资金）×100.00%=（2941/2941）×100.00%=100%。得分=资金到位率×分值=100%×5=5分。财政资金足额拨付到位，根据评分标准，该指标不扣分，得5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F9B5B">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A2AD9">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65482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1505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94AE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D8E4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预算执行率</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B6B5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44FB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项目预算资金是否按照计划执行，用以反映或考核项目预算执行情况。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729E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100%</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18B1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预算执行率=（实际支出资金/实际到位资金）×100%。实际支出资金：一定时期（本年度或项目期）内项目实际拨付的资金。</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5D2F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预算执行率=（实际支出资金/实际到位资金）×100%。得分=权重*预算执行率。</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CFBE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通过查阅该项目会计凭证，该项目于2025年1月支付生活补贴和护理补贴295.87万元，2月支付生活补贴和护理补贴240.73万元，3月支付生活补贴和护理补贴241.08万元，4月支付生活补贴和护理补贴241.03万元，5月支付生活补贴和护理补贴241.39万元，6月支付生活补贴和护理补贴241.93万元，7月支付生活补贴和护理补贴244.49万元，8月支付生活补贴和护理补贴245.8万元，9月支付生活补贴和护理补贴246.68万元，10月支付生活补贴和护理补贴246.95万元，11月支付生活补贴和护理补贴247.36万元，12月支付生活补贴和护理补贴207.55万元，该项目执行资金2940.86万元，执行率达99.995%，基本全额执行。根据评分标准，该指标不扣分，得5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D3AD4">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A41E6">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1A664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F46EAA">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199F74">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C2FA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资金使用合规性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9A50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8BEB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考察项目单位资金的使用规范程度。项目资金使用是否符合相关法律法规、制度和规定，用以反映和考核项目资金使用的规范性和安全性。</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0DF2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合规</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DD6C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是否符合国家财经法规和财务管理制度以及有关专项资金管理办法的规定；②资金的拨付是否有完整的审批程序和手续；③是否符合项目预算批复或合同规定的用途；④是否存在截留、挤占、挪用、虚列支出等情况。</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F425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是否符合国家财经法规和财务管理制度以及有关专项资金管理办法的规定；②是否符合项目预算批复或合同规定的用途；③是否存在截留、挤占、挪用、虚列支出等情况；④资金的拨付是否有完整的审批程序和手续。以上四项分别占25%的权重分，不满足①或②或③时属于严重违规事项，本项指标不得分，在符合①、②和③的条件下，其他各项符合则得分，否则扣除相应权重分，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4B28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通过查阅单位会计原始凭证，项目资金由国库直接支付至惠民一卡通代发账户，由代发户批量代发，资金支出符合《关于提高全区困难残疾人生活补贴和重度残疾人护理补贴标准的通知》（新民发〔2024〕53号）《关于提前下达2025年自治区财政困难残疾人生活补贴和重度残疾人护理补贴补助资金的通知》（喀地财社〔2024〕67号）文件要求，符合莎车县民政局财务管理制度及国库集中支付制度，资金使用合规，根据评分标准，该指标不扣分，得5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7EF6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80F4A">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580C4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01A718">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AB348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组织实施（5分）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760A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管理制度健全性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B886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68A3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项目实施单位的财务和业务管理制度是否健全，用以反映和考核财务和业务管理制度对项目顺利实施的保障情况。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98B7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健全</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8238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①是否已制定或具有相应的财务和业务管理制度；②财务和业务管理制度是否合法、合规、完整。</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D68E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是否已制定或具有相应的财务和业务管理制度；②财务和业务管理制度是否合法、合规、完整。以上两项分别占50%的权重分，符合则得分，否则扣除相应权重的100%、80%、60%、40%和20%的分值，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C270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莎车县民政局制定了《莎车县民政局财务管理制度》《莎车县民政局财务内控管理制度》《莎车县民政局项目资金绩效评价管理制度》，对财政专项资金进行严格管理，做到了专款专用，根据评分标准，该指标不扣分，得2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E33B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2</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BB73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52325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B4267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52002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D828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制度执行有效性</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D49B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C83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项目实施是否符合相关管理规定，用以反映和考核相关管理制度的有效执行情况。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9589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有效</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1B02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①是否遵守相关法律法规和相关管理规定；②项目调整及支出调整手续是否完备；③项目合同书、验收报告、技术鉴定等资料是否齐全并及时归档；④项目实施的人员条件、场地设备、信息支撑等是否落实到位。</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7814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评价要点：①是否遵守相关法律法规和相关管理规定；②项目调整及支出调整手续是否完备；③项目合同书、验收报告、技术鉴定等资料是否齐全并及时归档；④项目实施的人员条件、场地设备、信息支撑等是否落实到位。以上四项中，①占40%的权重分，②至④分别占20%的权重分，各项符合则得分，否则扣除相应权重的100%、80%、60%、40%和20%的分值，扣完为止。</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0200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项目运行严格按照单位《莎车县民政局财务管理制度》《莎车县民政局财务内控管理制度》等制度运行，制定《困难残疾人生活补贴和重度残疾人护理补贴申请办理流程》，经对比分析该项目实际执行过程资料和已建立的项目管理制度和财务管理制度，得出该项目严格按照本单位已建立制度执行。项目资金支出严格按照中央、自治区、地区、县以及本单位资金管理办法执行，项目启动实施后，为了加快该项目的实施，莎车县民政局成立了2025年莎车县困难残疾人生活补贴和重度残疾人护理补贴项目领导小组，由莎车县民政局副局长马俊华任项目组长，负责该项目的全盘组织实施；业务工作人员何宇星负责项目实施、项目监督管理工作；财务负责人马鸿宇按照项目负责人提供的依据和发票等按项目进度向财政申请支付资金；部门提出经费预算支出可行性方案，经过与县政府分管领导沟通后，报党支部会议研究执行，财务对资金的使用合法合规性进行监督，年底对资金使用效果进行自评；通过业务与财务工作共同配合衔接，形成了明确责任分工的项目管理制度，并按照监督检查制度、预算绩效管理办法等相关制度办法严格落实各环节工作，严格按照流程执行项目，该项目监管有效，不存在履职不到位的情况。但在查看支付资料时，其一：出现2025年1月支付2024年12月缺口补助资金，2025年1月支付2024年12月困难残疾人生活补贴27.22万元、重度残疾人护理补贴27.41万元；2025年12月出现39.46万元资金缺口；其二：出现已故人员违规领取残疾人两项补贴情况，追回3月重度残疾人护理补贴120元、4月困难残疾人生活补贴120元、8月重度残疾人护理补贴120元。综上所述，该指标扣1分，得2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1CA56">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2</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330E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66.67%</w:t>
            </w:r>
          </w:p>
        </w:tc>
      </w:tr>
      <w:tr w14:paraId="29743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2"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65F00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产出（40分）</w:t>
            </w:r>
          </w:p>
        </w:tc>
        <w:tc>
          <w:tcPr>
            <w:tcW w:w="765" w:type="dxa"/>
            <w:vMerge w:val="restart"/>
            <w:tcBorders>
              <w:top w:val="single" w:color="000000" w:sz="4" w:space="0"/>
              <w:left w:val="single" w:color="000000" w:sz="4" w:space="0"/>
              <w:right w:val="single" w:color="000000" w:sz="4" w:space="0"/>
            </w:tcBorders>
            <w:shd w:val="clear" w:color="auto" w:fill="FFFFFF"/>
            <w:vAlign w:val="center"/>
          </w:tcPr>
          <w:p w14:paraId="16D287F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产出数量（10分）</w:t>
            </w:r>
          </w:p>
        </w:tc>
        <w:tc>
          <w:tcPr>
            <w:tcW w:w="64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5A6770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发放困难残疾人生活补贴人数</w:t>
            </w:r>
          </w:p>
        </w:tc>
        <w:tc>
          <w:tcPr>
            <w:tcW w:w="48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D3023D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D8D63C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lang w:eastAsia="zh-CN"/>
              </w:rPr>
            </w:pPr>
            <w:r>
              <w:rPr>
                <w:rFonts w:hint="eastAsia" w:ascii="方正仿宋_GBK" w:hAnsi="方正仿宋_GBK" w:eastAsia="方正仿宋_GBK" w:cs="方正仿宋_GBK"/>
                <w:i w:val="0"/>
                <w:iCs w:val="0"/>
                <w:color w:val="auto"/>
                <w:kern w:val="0"/>
                <w:sz w:val="20"/>
                <w:szCs w:val="20"/>
                <w:u w:val="none"/>
                <w:lang w:val="en-US" w:eastAsia="zh-CN" w:bidi="ar"/>
              </w:rPr>
              <w:t>考察项目</w:t>
            </w:r>
            <w:r>
              <w:rPr>
                <w:rFonts w:hint="eastAsia" w:ascii="方正仿宋_GBK" w:hAnsi="方正仿宋_GBK" w:eastAsia="方正仿宋_GBK" w:cs="方正仿宋_GBK"/>
                <w:i w:val="0"/>
                <w:iCs w:val="0"/>
                <w:color w:val="auto"/>
                <w:sz w:val="20"/>
                <w:szCs w:val="20"/>
                <w:u w:val="none"/>
              </w:rPr>
              <w:t>发放困难残疾人生活补贴人数</w:t>
            </w:r>
            <w:r>
              <w:rPr>
                <w:rFonts w:hint="eastAsia" w:ascii="方正仿宋_GBK" w:hAnsi="方正仿宋_GBK" w:eastAsia="方正仿宋_GBK" w:cs="方正仿宋_GBK"/>
                <w:i w:val="0"/>
                <w:iCs w:val="0"/>
                <w:color w:val="auto"/>
                <w:sz w:val="20"/>
                <w:szCs w:val="20"/>
                <w:u w:val="none"/>
                <w:lang w:eastAsia="zh-CN"/>
              </w:rPr>
              <w:t>是否达到预期目标</w:t>
            </w:r>
          </w:p>
        </w:tc>
        <w:tc>
          <w:tcPr>
            <w:tcW w:w="90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A6FCB58">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eastAsia="zh-CN"/>
              </w:rPr>
              <w:t>≥</w:t>
            </w:r>
            <w:r>
              <w:rPr>
                <w:rFonts w:hint="eastAsia" w:ascii="方正仿宋_GBK" w:hAnsi="方正仿宋_GBK" w:eastAsia="方正仿宋_GBK" w:cs="方正仿宋_GBK"/>
                <w:i w:val="0"/>
                <w:iCs w:val="0"/>
                <w:color w:val="auto"/>
                <w:sz w:val="20"/>
                <w:szCs w:val="20"/>
                <w:u w:val="none"/>
                <w:lang w:val="en-US" w:eastAsia="zh-CN"/>
              </w:rPr>
              <w:t>11825人</w:t>
            </w:r>
          </w:p>
        </w:tc>
        <w:tc>
          <w:tcPr>
            <w:tcW w:w="189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B4A22D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实际完成率=（实际发放人数/计划发放人数）×100%。</w:t>
            </w:r>
          </w:p>
        </w:tc>
        <w:tc>
          <w:tcPr>
            <w:tcW w:w="282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A1A800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ECA7A6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发放困难残疾人生活补贴人数指标，预期目标是大于等于11825人，通过查看2025年残疾人两项补贴每月发放统计表，该指标实际完成11825人，指标完成率为100%。所设分值为5分，实际得分为5分。</w:t>
            </w: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CEE1F15">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7A17ECD">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7A46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714" w:type="dxa"/>
            <w:vMerge w:val="continue"/>
            <w:tcBorders>
              <w:left w:val="single" w:color="000000" w:sz="4" w:space="0"/>
              <w:right w:val="single" w:color="000000" w:sz="4" w:space="0"/>
            </w:tcBorders>
            <w:shd w:val="clear" w:color="auto" w:fill="FFFFFF"/>
            <w:vAlign w:val="center"/>
          </w:tcPr>
          <w:p w14:paraId="773AA6A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765" w:type="dxa"/>
            <w:vMerge w:val="continue"/>
            <w:tcBorders>
              <w:left w:val="single" w:color="000000" w:sz="4" w:space="0"/>
              <w:bottom w:val="single" w:color="000000" w:sz="4" w:space="0"/>
              <w:right w:val="single" w:color="000000" w:sz="4" w:space="0"/>
            </w:tcBorders>
            <w:shd w:val="clear" w:color="auto" w:fill="FFFFFF"/>
            <w:vAlign w:val="center"/>
          </w:tcPr>
          <w:p w14:paraId="286CE13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64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DE48B0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发放重度残疾人护理补贴人数</w:t>
            </w:r>
          </w:p>
        </w:tc>
        <w:tc>
          <w:tcPr>
            <w:tcW w:w="48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021ACB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307B51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考察项目发放重度残疾人护理补贴人数</w:t>
            </w:r>
            <w:r>
              <w:rPr>
                <w:rFonts w:hint="eastAsia" w:ascii="方正仿宋_GBK" w:hAnsi="方正仿宋_GBK" w:eastAsia="方正仿宋_GBK" w:cs="方正仿宋_GBK"/>
                <w:i w:val="0"/>
                <w:iCs w:val="0"/>
                <w:color w:val="auto"/>
                <w:sz w:val="20"/>
                <w:szCs w:val="20"/>
                <w:u w:val="none"/>
                <w:lang w:val="en-US" w:eastAsia="zh-CN"/>
              </w:rPr>
              <w:t>是否达到预期目标</w:t>
            </w:r>
          </w:p>
        </w:tc>
        <w:tc>
          <w:tcPr>
            <w:tcW w:w="908"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9A8F750">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lang w:eastAsia="zh-CN"/>
              </w:rPr>
              <w:t>≥</w:t>
            </w:r>
            <w:r>
              <w:rPr>
                <w:rFonts w:hint="eastAsia" w:ascii="方正仿宋_GBK" w:hAnsi="方正仿宋_GBK" w:eastAsia="方正仿宋_GBK" w:cs="方正仿宋_GBK"/>
                <w:i w:val="0"/>
                <w:iCs w:val="0"/>
                <w:color w:val="auto"/>
                <w:sz w:val="20"/>
                <w:szCs w:val="20"/>
                <w:u w:val="none"/>
                <w:lang w:val="en-US" w:eastAsia="zh-CN"/>
              </w:rPr>
              <w:t>8771人</w:t>
            </w:r>
          </w:p>
        </w:tc>
        <w:tc>
          <w:tcPr>
            <w:tcW w:w="189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2D87F0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实际完成率=（实际发放人数/计划发放人数）×100%。</w:t>
            </w:r>
          </w:p>
        </w:tc>
        <w:tc>
          <w:tcPr>
            <w:tcW w:w="28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BB1BAF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568E14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发放重度残疾人护理补贴人数指标，预期目标是大于等于8771人，通过查看2025年残疾人两项补贴每月发放统计表，该指标实际完成8771人，指标完成率为100%。所设分值为5分，实际得分为5分。</w:t>
            </w:r>
          </w:p>
        </w:tc>
        <w:tc>
          <w:tcPr>
            <w:tcW w:w="75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8A71350">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FAD62C1">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6B18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AEA0E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D7A2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产出质量（10分）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842F4">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补助人员身份审核合格率</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7BB8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2B76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考察项目补助人员身份审核合格率是否达到预期目标</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1FE2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100%</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C299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人员审核合格率=（审核合格人数/参与审核人数）×100%。</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1001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98D2D">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补助人员身份审核合格率指标，预期目标是100%，通过查看2025年残疾人两项补贴每月发放统计表，实际完成100%，指标完成率为100%。所设分值为10分，实际得分为10分。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1EB5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E9D01">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7DFF4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925F5">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restart"/>
            <w:tcBorders>
              <w:top w:val="single" w:color="000000" w:sz="4" w:space="0"/>
              <w:left w:val="single" w:color="000000" w:sz="4" w:space="0"/>
              <w:right w:val="single" w:color="000000" w:sz="4" w:space="0"/>
            </w:tcBorders>
            <w:shd w:val="clear" w:color="auto" w:fill="FFFFFF"/>
            <w:vAlign w:val="center"/>
          </w:tcPr>
          <w:p w14:paraId="5A1854D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产出时效（10分）</w:t>
            </w:r>
          </w:p>
        </w:tc>
        <w:tc>
          <w:tcPr>
            <w:tcW w:w="64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C2F5A5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补助月数</w:t>
            </w:r>
          </w:p>
        </w:tc>
        <w:tc>
          <w:tcPr>
            <w:tcW w:w="48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5505D6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A903CD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考察项目补助月数是否达到预期目标</w:t>
            </w:r>
          </w:p>
        </w:tc>
        <w:tc>
          <w:tcPr>
            <w:tcW w:w="90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37FF73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=12个月</w:t>
            </w:r>
          </w:p>
          <w:p w14:paraId="082329AA">
            <w:pPr>
              <w:pStyle w:val="2"/>
              <w:keepNext w:val="0"/>
              <w:keepLines w:val="0"/>
              <w:suppressLineNumbers w:val="0"/>
              <w:spacing w:before="0" w:beforeAutospacing="0" w:after="0" w:afterAutospacing="0"/>
              <w:ind w:left="0" w:right="0"/>
              <w:rPr>
                <w:rFonts w:hint="eastAsia" w:ascii="方正仿宋_GBK" w:hAnsi="方正仿宋_GBK" w:eastAsia="方正仿宋_GBK" w:cs="方正仿宋_GBK"/>
                <w:sz w:val="20"/>
                <w:szCs w:val="20"/>
                <w:lang w:val="en-US" w:eastAsia="zh-CN"/>
              </w:rPr>
            </w:pPr>
          </w:p>
        </w:tc>
        <w:tc>
          <w:tcPr>
            <w:tcW w:w="189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88358D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实际完成时间：项目实施单位完成该项目实际所耗用的时间。计划完成时间：按照项目实施计划或相关规定完成该项目所需的时间。</w:t>
            </w:r>
          </w:p>
        </w:tc>
        <w:tc>
          <w:tcPr>
            <w:tcW w:w="282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7F7120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在计划时间内完成得满分，否则得0分。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59D23F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补助月数指标，预期目标是等于12个月，通过查看该项目国库集中支付凭证、2025年残疾人两项补贴每月发放统计表，实际完成12个月，指标完成率100%。所设分值为5分，实际得分为5分。</w:t>
            </w:r>
          </w:p>
          <w:p w14:paraId="623BEE8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E305FF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21DBFD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1E20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1"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C4162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left w:val="single" w:color="000000" w:sz="4" w:space="0"/>
              <w:bottom w:val="single" w:color="000000" w:sz="4" w:space="0"/>
              <w:right w:val="single" w:color="000000" w:sz="4" w:space="0"/>
            </w:tcBorders>
            <w:shd w:val="clear" w:color="auto" w:fill="FFFFFF"/>
            <w:vAlign w:val="center"/>
          </w:tcPr>
          <w:p w14:paraId="692DE1B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64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A4B2062">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sz w:val="20"/>
                <w:szCs w:val="20"/>
                <w:u w:val="none"/>
                <w:lang w:eastAsia="zh-CN"/>
              </w:rPr>
              <w:t>补助发放时间</w:t>
            </w:r>
          </w:p>
        </w:tc>
        <w:tc>
          <w:tcPr>
            <w:tcW w:w="48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56A549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3720D8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考察项目</w:t>
            </w:r>
            <w:r>
              <w:rPr>
                <w:rFonts w:hint="eastAsia" w:ascii="方正仿宋_GBK" w:hAnsi="方正仿宋_GBK" w:eastAsia="方正仿宋_GBK" w:cs="方正仿宋_GBK"/>
                <w:i w:val="0"/>
                <w:iCs w:val="0"/>
                <w:color w:val="auto"/>
                <w:sz w:val="20"/>
                <w:szCs w:val="20"/>
                <w:u w:val="none"/>
                <w:lang w:eastAsia="zh-CN"/>
              </w:rPr>
              <w:t>补助发放时间是否达到预期目标</w:t>
            </w:r>
          </w:p>
        </w:tc>
        <w:tc>
          <w:tcPr>
            <w:tcW w:w="908"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BBCC58F">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rPr>
            </w:pPr>
            <w:r>
              <w:rPr>
                <w:rFonts w:hint="eastAsia" w:ascii="方正仿宋_GBK" w:hAnsi="方正仿宋_GBK" w:eastAsia="方正仿宋_GBK" w:cs="方正仿宋_GBK"/>
                <w:i w:val="0"/>
                <w:iCs w:val="0"/>
                <w:color w:val="auto"/>
                <w:sz w:val="20"/>
                <w:szCs w:val="20"/>
                <w:u w:val="none"/>
                <w:lang w:eastAsia="zh-CN"/>
              </w:rPr>
              <w:t>每月</w:t>
            </w:r>
            <w:r>
              <w:rPr>
                <w:rFonts w:hint="eastAsia" w:ascii="方正仿宋_GBK" w:hAnsi="方正仿宋_GBK" w:eastAsia="方正仿宋_GBK" w:cs="方正仿宋_GBK"/>
                <w:i w:val="0"/>
                <w:iCs w:val="0"/>
                <w:color w:val="auto"/>
                <w:sz w:val="20"/>
                <w:szCs w:val="20"/>
                <w:u w:val="none"/>
                <w:lang w:val="en-US" w:eastAsia="zh-CN"/>
              </w:rPr>
              <w:t>15日之前</w:t>
            </w:r>
          </w:p>
        </w:tc>
        <w:tc>
          <w:tcPr>
            <w:tcW w:w="189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C4A7521">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实际完成时间：项目实施单位完成该项目实际所耗用的时间。计划完成时间：按照项目实施计划或相关规定完成该项目所需的时间。</w:t>
            </w:r>
          </w:p>
        </w:tc>
        <w:tc>
          <w:tcPr>
            <w:tcW w:w="28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3C9804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项目在计划时间内完成得满分，否则得0分。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744E18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补助发放时间指标，预期目标是每月15日之前，通过查看该项目国库集中支付凭证，实际完成每月15日之前，指标完成率100%。所设分值为5分，实际得分为5分。</w:t>
            </w:r>
          </w:p>
        </w:tc>
        <w:tc>
          <w:tcPr>
            <w:tcW w:w="75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23538C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6072966">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158A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3"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F4AD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restart"/>
            <w:tcBorders>
              <w:top w:val="single" w:color="000000" w:sz="4" w:space="0"/>
              <w:left w:val="single" w:color="000000" w:sz="4" w:space="0"/>
              <w:right w:val="single" w:color="000000" w:sz="4" w:space="0"/>
            </w:tcBorders>
            <w:shd w:val="clear" w:color="auto" w:fill="FFFFFF"/>
            <w:vAlign w:val="center"/>
          </w:tcPr>
          <w:p w14:paraId="6921ABA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产出成本（10分）</w:t>
            </w:r>
          </w:p>
        </w:tc>
        <w:tc>
          <w:tcPr>
            <w:tcW w:w="64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FFB9349">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困难残疾人生活补贴标准</w:t>
            </w:r>
          </w:p>
        </w:tc>
        <w:tc>
          <w:tcPr>
            <w:tcW w:w="48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BBAD9B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102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98D1C1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lang w:eastAsia="zh-CN"/>
              </w:rPr>
            </w:pPr>
            <w:r>
              <w:rPr>
                <w:rFonts w:hint="eastAsia" w:ascii="方正仿宋_GBK" w:hAnsi="方正仿宋_GBK" w:eastAsia="方正仿宋_GBK" w:cs="方正仿宋_GBK"/>
                <w:i w:val="0"/>
                <w:iCs w:val="0"/>
                <w:color w:val="auto"/>
                <w:kern w:val="0"/>
                <w:sz w:val="20"/>
                <w:szCs w:val="20"/>
                <w:u w:val="none"/>
                <w:lang w:val="en-US" w:eastAsia="zh-CN" w:bidi="ar"/>
              </w:rPr>
              <w:t>考察项目</w:t>
            </w:r>
            <w:r>
              <w:rPr>
                <w:rFonts w:hint="eastAsia" w:ascii="方正仿宋_GBK" w:hAnsi="方正仿宋_GBK" w:eastAsia="方正仿宋_GBK" w:cs="方正仿宋_GBK"/>
                <w:i w:val="0"/>
                <w:iCs w:val="0"/>
                <w:color w:val="auto"/>
                <w:sz w:val="20"/>
                <w:szCs w:val="20"/>
                <w:u w:val="none"/>
              </w:rPr>
              <w:t>困难残疾人生活补贴标准</w:t>
            </w:r>
            <w:r>
              <w:rPr>
                <w:rFonts w:hint="eastAsia" w:ascii="方正仿宋_GBK" w:hAnsi="方正仿宋_GBK" w:eastAsia="方正仿宋_GBK" w:cs="方正仿宋_GBK"/>
                <w:i w:val="0"/>
                <w:iCs w:val="0"/>
                <w:color w:val="auto"/>
                <w:sz w:val="20"/>
                <w:szCs w:val="20"/>
                <w:u w:val="none"/>
                <w:lang w:eastAsia="zh-CN"/>
              </w:rPr>
              <w:t>是否达到预期目标</w:t>
            </w:r>
          </w:p>
        </w:tc>
        <w:tc>
          <w:tcPr>
            <w:tcW w:w="90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007F02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eastAsia="zh-CN"/>
              </w:rPr>
            </w:pPr>
            <w:r>
              <w:rPr>
                <w:rFonts w:hint="eastAsia" w:ascii="方正仿宋_GBK" w:hAnsi="方正仿宋_GBK" w:eastAsia="方正仿宋_GBK" w:cs="方正仿宋_GBK"/>
                <w:i w:val="0"/>
                <w:iCs w:val="0"/>
                <w:color w:val="auto"/>
                <w:sz w:val="20"/>
                <w:szCs w:val="20"/>
                <w:u w:val="none"/>
              </w:rPr>
              <w:t>1</w:t>
            </w:r>
            <w:r>
              <w:rPr>
                <w:rFonts w:hint="eastAsia" w:ascii="方正仿宋_GBK" w:hAnsi="方正仿宋_GBK" w:eastAsia="方正仿宋_GBK" w:cs="方正仿宋_GBK"/>
                <w:i w:val="0"/>
                <w:iCs w:val="0"/>
                <w:color w:val="auto"/>
                <w:sz w:val="20"/>
                <w:szCs w:val="20"/>
                <w:u w:val="none"/>
                <w:lang w:val="en-US" w:eastAsia="zh-CN"/>
              </w:rPr>
              <w:t>2</w:t>
            </w:r>
            <w:r>
              <w:rPr>
                <w:rFonts w:hint="eastAsia" w:ascii="方正仿宋_GBK" w:hAnsi="方正仿宋_GBK" w:eastAsia="方正仿宋_GBK" w:cs="方正仿宋_GBK"/>
                <w:i w:val="0"/>
                <w:iCs w:val="0"/>
                <w:color w:val="auto"/>
                <w:sz w:val="20"/>
                <w:szCs w:val="20"/>
                <w:u w:val="none"/>
              </w:rPr>
              <w:t>0元/</w:t>
            </w:r>
            <w:r>
              <w:rPr>
                <w:rFonts w:hint="eastAsia" w:ascii="方正仿宋_GBK" w:hAnsi="方正仿宋_GBK" w:eastAsia="方正仿宋_GBK" w:cs="方正仿宋_GBK"/>
                <w:i w:val="0"/>
                <w:iCs w:val="0"/>
                <w:color w:val="auto"/>
                <w:sz w:val="20"/>
                <w:szCs w:val="20"/>
                <w:u w:val="none"/>
                <w:lang w:eastAsia="zh-CN"/>
              </w:rPr>
              <w:t>人</w:t>
            </w:r>
            <w:r>
              <w:rPr>
                <w:rFonts w:hint="eastAsia" w:ascii="方正仿宋_GBK" w:hAnsi="方正仿宋_GBK" w:eastAsia="方正仿宋_GBK" w:cs="方正仿宋_GBK"/>
                <w:i w:val="0"/>
                <w:iCs w:val="0"/>
                <w:color w:val="auto"/>
                <w:sz w:val="20"/>
                <w:szCs w:val="20"/>
                <w:u w:val="none"/>
                <w:lang w:val="en-US" w:eastAsia="zh-CN"/>
              </w:rPr>
              <w:t>/</w:t>
            </w:r>
            <w:r>
              <w:rPr>
                <w:rFonts w:hint="eastAsia" w:ascii="方正仿宋_GBK" w:hAnsi="方正仿宋_GBK" w:eastAsia="方正仿宋_GBK" w:cs="方正仿宋_GBK"/>
                <w:i w:val="0"/>
                <w:iCs w:val="0"/>
                <w:color w:val="auto"/>
                <w:sz w:val="20"/>
                <w:szCs w:val="20"/>
                <w:u w:val="none"/>
              </w:rPr>
              <w:t>月</w:t>
            </w:r>
          </w:p>
        </w:tc>
        <w:tc>
          <w:tcPr>
            <w:tcW w:w="189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022753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282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31E767A">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B88176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困难残疾人生活补贴标准指标，预期目标是小于等于120元/人/月，通过查看2025年残疾人两项补贴每月发放统计表，实际完成120元/人/月，指标完成率100%。所设分值为5分，实际得分为5分</w:t>
            </w:r>
            <w:r>
              <w:rPr>
                <w:rFonts w:hint="eastAsia" w:ascii="方正仿宋_GBK" w:hAnsi="方正仿宋_GBK" w:cs="方正仿宋_GBK"/>
                <w:i w:val="0"/>
                <w:iCs w:val="0"/>
                <w:color w:val="auto"/>
                <w:kern w:val="0"/>
                <w:sz w:val="20"/>
                <w:szCs w:val="20"/>
                <w:u w:val="none"/>
                <w:lang w:val="en-US" w:eastAsia="zh-CN" w:bidi="ar"/>
              </w:rPr>
              <w:t>。</w:t>
            </w:r>
          </w:p>
        </w:tc>
        <w:tc>
          <w:tcPr>
            <w:tcW w:w="75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748E155">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8935E4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7D83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714" w:type="dxa"/>
            <w:vMerge w:val="continue"/>
            <w:tcBorders>
              <w:left w:val="single" w:color="000000" w:sz="4" w:space="0"/>
              <w:bottom w:val="single" w:color="000000" w:sz="4" w:space="0"/>
              <w:right w:val="single" w:color="000000" w:sz="4" w:space="0"/>
            </w:tcBorders>
            <w:shd w:val="clear" w:color="auto" w:fill="FFFFFF"/>
            <w:vAlign w:val="center"/>
          </w:tcPr>
          <w:p w14:paraId="4E08FF97">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left w:val="single" w:color="000000" w:sz="4" w:space="0"/>
              <w:bottom w:val="single" w:color="000000" w:sz="4" w:space="0"/>
              <w:right w:val="single" w:color="000000" w:sz="4" w:space="0"/>
            </w:tcBorders>
            <w:shd w:val="clear" w:color="auto" w:fill="FFFFFF"/>
            <w:vAlign w:val="center"/>
          </w:tcPr>
          <w:p w14:paraId="6C7E5CF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64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BEBAF8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lang w:eastAsia="zh-CN"/>
              </w:rPr>
              <w:t>重度残疾人护理补贴标准</w:t>
            </w:r>
          </w:p>
        </w:tc>
        <w:tc>
          <w:tcPr>
            <w:tcW w:w="48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273184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5</w:t>
            </w:r>
          </w:p>
        </w:tc>
        <w:tc>
          <w:tcPr>
            <w:tcW w:w="102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1FBD46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考察项目</w:t>
            </w:r>
            <w:r>
              <w:rPr>
                <w:rFonts w:hint="eastAsia" w:ascii="方正仿宋_GBK" w:hAnsi="方正仿宋_GBK" w:eastAsia="方正仿宋_GBK" w:cs="方正仿宋_GBK"/>
                <w:i w:val="0"/>
                <w:iCs w:val="0"/>
                <w:color w:val="auto"/>
                <w:sz w:val="20"/>
                <w:szCs w:val="20"/>
                <w:u w:val="none"/>
                <w:lang w:eastAsia="zh-CN"/>
              </w:rPr>
              <w:t>重度残疾人护理补贴标准是否达到预期目标</w:t>
            </w:r>
          </w:p>
        </w:tc>
        <w:tc>
          <w:tcPr>
            <w:tcW w:w="908"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08EC309">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1</w:t>
            </w:r>
            <w:r>
              <w:rPr>
                <w:rFonts w:hint="eastAsia" w:ascii="方正仿宋_GBK" w:hAnsi="方正仿宋_GBK" w:eastAsia="方正仿宋_GBK" w:cs="方正仿宋_GBK"/>
                <w:i w:val="0"/>
                <w:iCs w:val="0"/>
                <w:color w:val="auto"/>
                <w:sz w:val="20"/>
                <w:szCs w:val="20"/>
                <w:u w:val="none"/>
                <w:lang w:val="en-US" w:eastAsia="zh-CN"/>
              </w:rPr>
              <w:t>2</w:t>
            </w:r>
            <w:r>
              <w:rPr>
                <w:rFonts w:hint="eastAsia" w:ascii="方正仿宋_GBK" w:hAnsi="方正仿宋_GBK" w:eastAsia="方正仿宋_GBK" w:cs="方正仿宋_GBK"/>
                <w:i w:val="0"/>
                <w:iCs w:val="0"/>
                <w:color w:val="auto"/>
                <w:sz w:val="20"/>
                <w:szCs w:val="20"/>
                <w:u w:val="none"/>
              </w:rPr>
              <w:t>0元/</w:t>
            </w:r>
            <w:r>
              <w:rPr>
                <w:rFonts w:hint="eastAsia" w:ascii="方正仿宋_GBK" w:hAnsi="方正仿宋_GBK" w:eastAsia="方正仿宋_GBK" w:cs="方正仿宋_GBK"/>
                <w:i w:val="0"/>
                <w:iCs w:val="0"/>
                <w:color w:val="auto"/>
                <w:sz w:val="20"/>
                <w:szCs w:val="20"/>
                <w:u w:val="none"/>
                <w:lang w:eastAsia="zh-CN"/>
              </w:rPr>
              <w:t>人</w:t>
            </w:r>
            <w:r>
              <w:rPr>
                <w:rFonts w:hint="eastAsia" w:ascii="方正仿宋_GBK" w:hAnsi="方正仿宋_GBK" w:eastAsia="方正仿宋_GBK" w:cs="方正仿宋_GBK"/>
                <w:i w:val="0"/>
                <w:iCs w:val="0"/>
                <w:color w:val="auto"/>
                <w:sz w:val="20"/>
                <w:szCs w:val="20"/>
                <w:u w:val="none"/>
                <w:lang w:val="en-US" w:eastAsia="zh-CN"/>
              </w:rPr>
              <w:t>/</w:t>
            </w:r>
            <w:r>
              <w:rPr>
                <w:rFonts w:hint="eastAsia" w:ascii="方正仿宋_GBK" w:hAnsi="方正仿宋_GBK" w:eastAsia="方正仿宋_GBK" w:cs="方正仿宋_GBK"/>
                <w:i w:val="0"/>
                <w:iCs w:val="0"/>
                <w:color w:val="auto"/>
                <w:sz w:val="20"/>
                <w:szCs w:val="20"/>
                <w:u w:val="none"/>
              </w:rPr>
              <w:t>月</w:t>
            </w:r>
          </w:p>
        </w:tc>
        <w:tc>
          <w:tcPr>
            <w:tcW w:w="189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A3A781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28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487FB5B">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F154EF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重度残疾人护理补贴标准指标，预期目标是小于等于120元/人/月，通过查看2025年残疾人两项补贴每月发放统计表，实际完成120元/人/月，指标完成率100%。所设分值为5分，实际得分为5分。</w:t>
            </w:r>
          </w:p>
          <w:p w14:paraId="0EB6730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p>
        </w:tc>
        <w:tc>
          <w:tcPr>
            <w:tcW w:w="75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67C22C8">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5</w:t>
            </w:r>
          </w:p>
        </w:tc>
        <w:tc>
          <w:tcPr>
            <w:tcW w:w="863"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FAE66A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68201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71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F2236F">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效益（20分）</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13F36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项目效益（20分）</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DBF60">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提升残疾人生活质量</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01543">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0B4A8">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lang w:eastAsia="zh-CN"/>
              </w:rPr>
            </w:pPr>
            <w:r>
              <w:rPr>
                <w:rFonts w:hint="eastAsia" w:ascii="方正仿宋_GBK" w:hAnsi="方正仿宋_GBK" w:eastAsia="方正仿宋_GBK" w:cs="方正仿宋_GBK"/>
                <w:i w:val="0"/>
                <w:iCs w:val="0"/>
                <w:color w:val="auto"/>
                <w:kern w:val="0"/>
                <w:sz w:val="20"/>
                <w:szCs w:val="20"/>
                <w:u w:val="none"/>
                <w:lang w:val="en-US" w:eastAsia="zh-CN" w:bidi="ar"/>
              </w:rPr>
              <w:t>考察项目提升残疾人生活质量</w:t>
            </w:r>
            <w:r>
              <w:rPr>
                <w:rFonts w:hint="eastAsia" w:ascii="方正仿宋_GBK" w:hAnsi="方正仿宋_GBK" w:eastAsia="方正仿宋_GBK" w:cs="方正仿宋_GBK"/>
                <w:i w:val="0"/>
                <w:iCs w:val="0"/>
                <w:color w:val="auto"/>
                <w:sz w:val="20"/>
                <w:szCs w:val="20"/>
                <w:u w:val="none"/>
                <w:lang w:eastAsia="zh-CN"/>
              </w:rPr>
              <w:t>的效益是否达到预期目标</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5C62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有效提升</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C637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通过调查反映项目实施所产生的推动作用，对</w:t>
            </w:r>
            <w:r>
              <w:rPr>
                <w:rFonts w:hint="eastAsia" w:ascii="方正仿宋_GBK" w:hAnsi="方正仿宋_GBK" w:eastAsia="方正仿宋_GBK" w:cs="方正仿宋_GBK"/>
                <w:i w:val="0"/>
                <w:iCs w:val="0"/>
                <w:color w:val="auto"/>
                <w:sz w:val="20"/>
                <w:szCs w:val="20"/>
                <w:u w:val="none"/>
              </w:rPr>
              <w:t>提升残疾人生活质量</w:t>
            </w:r>
            <w:r>
              <w:rPr>
                <w:rFonts w:hint="eastAsia" w:ascii="方正仿宋_GBK" w:hAnsi="方正仿宋_GBK" w:eastAsia="方正仿宋_GBK" w:cs="方正仿宋_GBK"/>
                <w:i w:val="0"/>
                <w:iCs w:val="0"/>
                <w:color w:val="000000"/>
                <w:kern w:val="0"/>
                <w:sz w:val="20"/>
                <w:szCs w:val="20"/>
                <w:u w:val="none"/>
                <w:lang w:val="en-US" w:eastAsia="zh-CN" w:bidi="ar"/>
              </w:rPr>
              <w:t>方面产生的作用。</w:t>
            </w:r>
            <w:r>
              <w:rPr>
                <w:rFonts w:hint="eastAsia" w:ascii="方正仿宋_GBK" w:hAnsi="方正仿宋_GBK" w:eastAsia="方正仿宋_GBK" w:cs="方正仿宋_GBK"/>
                <w:i w:val="0"/>
                <w:iCs w:val="0"/>
                <w:color w:val="auto"/>
                <w:sz w:val="20"/>
                <w:szCs w:val="20"/>
                <w:u w:val="none"/>
              </w:rPr>
              <w:t>提升残疾人生活质量</w:t>
            </w:r>
            <w:r>
              <w:rPr>
                <w:rFonts w:hint="eastAsia" w:ascii="方正仿宋_GBK" w:hAnsi="方正仿宋_GBK" w:eastAsia="方正仿宋_GBK" w:cs="方正仿宋_GBK"/>
                <w:i w:val="0"/>
                <w:iCs w:val="0"/>
                <w:color w:val="000000"/>
                <w:kern w:val="0"/>
                <w:sz w:val="20"/>
                <w:szCs w:val="20"/>
                <w:u w:val="none"/>
                <w:lang w:val="en-US" w:eastAsia="zh-CN" w:bidi="ar"/>
              </w:rPr>
              <w:t>=（得到提升人数/调查人数）*100%。指标完成率0%—59%，完成值为“实现目标程度较低”，指标完成率60%—79%，完成值为“部分实现目标”，指标完成率80%—99%，完成值为“基本达成目标”，指标完成率100%，与预期目标保持一致。</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2F02C">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A030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提升残疾人生活质量指标，预期目标是有效提升，评价组通过对享受生活补贴、护理补贴人员及其家属发放“2025年莎车县困难残疾人生活补贴和重度残疾人护理补贴项目满意度调查问卷”，对该项目实施效益进行调查分析，评价组共发放200份满意度调查问卷，分为二档，即“是”“否”，收回问卷200份，按照“2025年莎车县困难残疾人生活补贴和重度残疾人护理补贴项目满意度调查问卷”第2题的回复情况，调查对象均表示有效提升了生活质量，实际完成有效提升，指标完成率100%。所设分值为10分，实际得分为10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C3B5B">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994E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5472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71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A99C92">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73537C">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2C21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rPr>
              <w:t>受助对象满意度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3F136">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7B215">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考察项目受助对象满意情况</w:t>
            </w:r>
          </w:p>
        </w:tc>
        <w:tc>
          <w:tcPr>
            <w:tcW w:w="9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4C603">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sz w:val="20"/>
                <w:szCs w:val="20"/>
                <w:u w:val="none"/>
                <w:lang w:eastAsia="zh-CN"/>
              </w:rPr>
              <w:t>≥</w:t>
            </w:r>
            <w:r>
              <w:rPr>
                <w:rFonts w:hint="eastAsia" w:ascii="方正仿宋_GBK" w:hAnsi="方正仿宋_GBK" w:eastAsia="方正仿宋_GBK" w:cs="方正仿宋_GBK"/>
                <w:i w:val="0"/>
                <w:iCs w:val="0"/>
                <w:color w:val="auto"/>
                <w:sz w:val="20"/>
                <w:szCs w:val="20"/>
                <w:u w:val="none"/>
              </w:rPr>
              <w:t>95%</w:t>
            </w:r>
          </w:p>
        </w:tc>
        <w:tc>
          <w:tcPr>
            <w:tcW w:w="18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6B97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rPr>
              <w:t>受助残疾人满意度（%）</w:t>
            </w:r>
            <w:r>
              <w:rPr>
                <w:rFonts w:hint="eastAsia" w:ascii="方正仿宋_GBK" w:hAnsi="方正仿宋_GBK" w:eastAsia="方正仿宋_GBK" w:cs="方正仿宋_GBK"/>
                <w:i w:val="0"/>
                <w:iCs w:val="0"/>
                <w:color w:val="auto"/>
                <w:sz w:val="20"/>
                <w:szCs w:val="20"/>
                <w:u w:val="none"/>
                <w:lang w:val="en-US" w:eastAsia="zh-CN"/>
              </w:rPr>
              <w:t>=（满意人数/调查人数）*100%</w:t>
            </w:r>
          </w:p>
        </w:tc>
        <w:tc>
          <w:tcPr>
            <w:tcW w:w="28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E9567">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sz w:val="20"/>
                <w:szCs w:val="20"/>
                <w:u w:val="none"/>
              </w:rPr>
            </w:pPr>
            <w:r>
              <w:rPr>
                <w:rFonts w:hint="eastAsia" w:ascii="方正仿宋_GBK" w:hAnsi="方正仿宋_GBK" w:eastAsia="方正仿宋_GBK" w:cs="方正仿宋_GBK"/>
                <w:i w:val="0"/>
                <w:iCs w:val="0"/>
                <w:color w:val="auto"/>
                <w:kern w:val="0"/>
                <w:sz w:val="20"/>
                <w:szCs w:val="20"/>
                <w:u w:val="none"/>
                <w:lang w:val="en-US" w:eastAsia="zh-CN" w:bidi="ar"/>
              </w:rPr>
              <w:t>根据满意度问卷统计情况计算完成比率，实际完成值=∑样本数（“非常满意”×1.0+“较为满意”×0.8+“一般满意”×0.6+“较不满意”×0.3+“不满意”×0）/总样本数×100.00%；①实际完成值大于等于95.00%，得10.00分；②实际完成值小于95.00%且大于等于80.00%，得8.00分；③实际完成值小于80.00%大于等于60.00%，得5.00分。④实际完成值小于60.00%，不得分。</w:t>
            </w:r>
          </w:p>
        </w:tc>
        <w:tc>
          <w:tcPr>
            <w:tcW w:w="2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4818E">
            <w:pPr>
              <w:keepNext w:val="0"/>
              <w:keepLines w:val="0"/>
              <w:widowControl/>
              <w:suppressLineNumbers w:val="0"/>
              <w:spacing w:before="0" w:beforeAutospacing="0" w:after="0" w:afterAutospacing="0" w:line="240" w:lineRule="auto"/>
              <w:ind w:left="0" w:right="0" w:firstLine="0" w:firstLineChars="0"/>
              <w:jc w:val="left"/>
              <w:textAlignment w:val="center"/>
              <w:rPr>
                <w:rFonts w:hint="eastAsia" w:ascii="方正仿宋_GBK" w:hAnsi="方正仿宋_GBK" w:eastAsia="方正仿宋_GBK" w:cs="方正仿宋_GBK"/>
                <w:i w:val="0"/>
                <w:iCs w:val="0"/>
                <w:color w:val="auto"/>
                <w:kern w:val="0"/>
                <w:sz w:val="20"/>
                <w:szCs w:val="20"/>
                <w:u w:val="none"/>
                <w:lang w:val="en-US" w:eastAsia="zh-CN" w:bidi="ar"/>
              </w:rPr>
            </w:pPr>
            <w:r>
              <w:rPr>
                <w:rFonts w:hint="eastAsia" w:ascii="方正仿宋_GBK" w:hAnsi="方正仿宋_GBK" w:eastAsia="方正仿宋_GBK" w:cs="方正仿宋_GBK"/>
                <w:i w:val="0"/>
                <w:iCs w:val="0"/>
                <w:color w:val="auto"/>
                <w:kern w:val="0"/>
                <w:sz w:val="20"/>
                <w:szCs w:val="20"/>
                <w:u w:val="none"/>
                <w:lang w:val="en-US" w:eastAsia="zh-CN" w:bidi="ar"/>
              </w:rPr>
              <w:t>受助对象满意度指标，预期目标是大于等于95%，评价组通过对享受生活补贴、护理补贴人员及其家属发放“2025年莎车县困难残疾人生活补贴和重度残疾人护理补贴项目满意度调查问卷”，对该项目满意度进行调查分析，评价组共发放200份满意度调查问卷，分为二档，即“是”“否”，收回问卷200份，按照“2025年莎车县困难残疾人生活补贴和重度残疾人护理补贴项目满意度调查问卷”第5题的回复情况计算公式得知，调查对象满意度为95%，即=（190×1.0+10×0）/200×100%，等于95%，指标完成率100%。所设分值为10分，实际得分为10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8791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A0D5E">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i w:val="0"/>
                <w:iCs w:val="0"/>
                <w:color w:val="auto"/>
                <w:sz w:val="20"/>
                <w:szCs w:val="20"/>
                <w:u w:val="none"/>
                <w:lang w:val="en-US" w:eastAsia="zh-CN"/>
              </w:rPr>
            </w:pPr>
            <w:r>
              <w:rPr>
                <w:rFonts w:hint="eastAsia" w:ascii="方正仿宋_GBK" w:hAnsi="方正仿宋_GBK" w:eastAsia="方正仿宋_GBK" w:cs="方正仿宋_GBK"/>
                <w:i w:val="0"/>
                <w:iCs w:val="0"/>
                <w:color w:val="auto"/>
                <w:sz w:val="20"/>
                <w:szCs w:val="20"/>
                <w:u w:val="none"/>
                <w:lang w:val="en-US" w:eastAsia="zh-CN"/>
              </w:rPr>
              <w:t>100%</w:t>
            </w:r>
          </w:p>
        </w:tc>
      </w:tr>
      <w:tr w14:paraId="42DD7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1" w:hRule="atLeast"/>
        </w:trPr>
        <w:tc>
          <w:tcPr>
            <w:tcW w:w="212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8CBC25">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b/>
                <w:bCs/>
                <w:i w:val="0"/>
                <w:iCs w:val="0"/>
                <w:color w:val="auto"/>
                <w:kern w:val="0"/>
                <w:sz w:val="20"/>
                <w:szCs w:val="20"/>
                <w:u w:val="none"/>
                <w:lang w:val="en-US" w:eastAsia="zh-CN" w:bidi="ar"/>
              </w:rPr>
            </w:pPr>
            <w:r>
              <w:rPr>
                <w:rFonts w:hint="eastAsia" w:ascii="方正仿宋_GBK" w:hAnsi="方正仿宋_GBK" w:eastAsia="方正仿宋_GBK" w:cs="方正仿宋_GBK"/>
                <w:b/>
                <w:bCs/>
                <w:i w:val="0"/>
                <w:iCs w:val="0"/>
                <w:color w:val="auto"/>
                <w:kern w:val="0"/>
                <w:sz w:val="20"/>
                <w:szCs w:val="20"/>
                <w:u w:val="none"/>
                <w:lang w:val="en-US" w:eastAsia="zh-CN" w:bidi="ar"/>
              </w:rPr>
              <w:t>总分</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E877">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b/>
                <w:bCs/>
                <w:i w:val="0"/>
                <w:iCs w:val="0"/>
                <w:color w:val="auto"/>
                <w:kern w:val="0"/>
                <w:sz w:val="20"/>
                <w:szCs w:val="20"/>
                <w:u w:val="none"/>
                <w:lang w:val="en-US" w:eastAsia="zh-CN" w:bidi="ar"/>
              </w:rPr>
            </w:pPr>
            <w:r>
              <w:rPr>
                <w:rFonts w:hint="eastAsia" w:ascii="方正仿宋_GBK" w:hAnsi="方正仿宋_GBK" w:eastAsia="方正仿宋_GBK" w:cs="方正仿宋_GBK"/>
                <w:b/>
                <w:bCs/>
                <w:i w:val="0"/>
                <w:iCs w:val="0"/>
                <w:color w:val="auto"/>
                <w:kern w:val="0"/>
                <w:sz w:val="20"/>
                <w:szCs w:val="20"/>
                <w:u w:val="none"/>
                <w:lang w:val="en-US" w:eastAsia="zh-CN" w:bidi="ar"/>
              </w:rPr>
              <w:t>100</w:t>
            </w:r>
          </w:p>
        </w:tc>
        <w:tc>
          <w:tcPr>
            <w:tcW w:w="926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9A85180">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方正仿宋_GBK" w:hAnsi="方正仿宋_GBK" w:eastAsia="方正仿宋_GBK" w:cs="方正仿宋_GBK"/>
                <w:b/>
                <w:bCs/>
                <w:i w:val="0"/>
                <w:iCs w:val="0"/>
                <w:color w:val="auto"/>
                <w:kern w:val="0"/>
                <w:sz w:val="20"/>
                <w:szCs w:val="20"/>
                <w:u w:val="none"/>
                <w:lang w:val="en-US" w:eastAsia="zh-CN" w:bidi="ar"/>
              </w:rPr>
            </w:pPr>
            <w:r>
              <w:rPr>
                <w:rFonts w:hint="eastAsia" w:ascii="方正仿宋_GBK" w:hAnsi="方正仿宋_GBK" w:eastAsia="方正仿宋_GBK" w:cs="方正仿宋_GBK"/>
                <w:b/>
                <w:bCs/>
                <w:i w:val="0"/>
                <w:iCs w:val="0"/>
                <w:color w:val="auto"/>
                <w:kern w:val="0"/>
                <w:sz w:val="20"/>
                <w:szCs w:val="20"/>
                <w:u w:val="none"/>
                <w:lang w:val="en-US" w:eastAsia="zh-CN" w:bidi="ar"/>
              </w:rPr>
              <w:t>实际得分</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C8500">
            <w:pPr>
              <w:keepNext w:val="0"/>
              <w:keepLines w:val="0"/>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b/>
                <w:bCs/>
                <w:i w:val="0"/>
                <w:iCs w:val="0"/>
                <w:color w:val="auto"/>
                <w:sz w:val="20"/>
                <w:szCs w:val="20"/>
                <w:u w:val="none"/>
                <w:lang w:val="en-US" w:eastAsia="zh-CN"/>
              </w:rPr>
            </w:pPr>
            <w:r>
              <w:rPr>
                <w:rFonts w:hint="eastAsia" w:ascii="方正仿宋_GBK" w:hAnsi="方正仿宋_GBK" w:eastAsia="方正仿宋_GBK" w:cs="方正仿宋_GBK"/>
                <w:b/>
                <w:bCs/>
                <w:i w:val="0"/>
                <w:iCs w:val="0"/>
                <w:color w:val="auto"/>
                <w:sz w:val="20"/>
                <w:szCs w:val="20"/>
                <w:u w:val="none"/>
                <w:lang w:val="en-US" w:eastAsia="zh-CN"/>
              </w:rPr>
              <w:t>99</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E0505">
            <w:pPr>
              <w:keepNext w:val="0"/>
              <w:keepLines w:val="0"/>
              <w:widowControl/>
              <w:suppressLineNumbers w:val="0"/>
              <w:spacing w:before="0" w:beforeAutospacing="0" w:after="0" w:afterAutospacing="0" w:line="240" w:lineRule="auto"/>
              <w:ind w:left="0" w:right="0" w:firstLine="0" w:firstLineChars="0"/>
              <w:jc w:val="left"/>
              <w:rPr>
                <w:rFonts w:hint="eastAsia" w:ascii="方正仿宋_GBK" w:hAnsi="方正仿宋_GBK" w:eastAsia="方正仿宋_GBK" w:cs="方正仿宋_GBK"/>
                <w:b/>
                <w:bCs/>
                <w:i w:val="0"/>
                <w:iCs w:val="0"/>
                <w:color w:val="auto"/>
                <w:sz w:val="20"/>
                <w:szCs w:val="20"/>
                <w:u w:val="none"/>
                <w:lang w:val="en-US" w:eastAsia="zh-CN"/>
              </w:rPr>
            </w:pPr>
            <w:r>
              <w:rPr>
                <w:rFonts w:hint="eastAsia" w:ascii="方正仿宋_GBK" w:hAnsi="方正仿宋_GBK" w:eastAsia="方正仿宋_GBK" w:cs="方正仿宋_GBK"/>
                <w:b/>
                <w:bCs/>
                <w:i w:val="0"/>
                <w:iCs w:val="0"/>
                <w:color w:val="auto"/>
                <w:sz w:val="20"/>
                <w:szCs w:val="20"/>
                <w:u w:val="none"/>
                <w:lang w:val="en-US" w:eastAsia="zh-CN"/>
              </w:rPr>
              <w:t>99%</w:t>
            </w:r>
          </w:p>
        </w:tc>
      </w:tr>
    </w:tbl>
    <w:p w14:paraId="5F3214F3">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rPr>
          <w:rFonts w:hint="default" w:ascii="方正仿宋_GBK" w:hAnsi="方正仿宋_GBK" w:eastAsia="方正仿宋_GBK" w:cs="方正仿宋_GBK"/>
          <w:b/>
          <w:bCs/>
          <w:color w:val="auto"/>
          <w:kern w:val="0"/>
          <w:sz w:val="32"/>
          <w:szCs w:val="32"/>
          <w:lang w:val="en-US" w:eastAsia="zh-CN" w:bidi="en-US"/>
        </w:rPr>
        <w:sectPr>
          <w:footerReference r:id="rId7" w:type="default"/>
          <w:pgSz w:w="16838" w:h="11906" w:orient="landscape"/>
          <w:pgMar w:top="1800" w:right="1440" w:bottom="1800" w:left="1440" w:header="851" w:footer="992" w:gutter="0"/>
          <w:pgNumType w:fmt="numberInDash"/>
          <w:cols w:space="425" w:num="1"/>
          <w:docGrid w:type="lines" w:linePitch="312" w:charSpace="0"/>
        </w:sectPr>
      </w:pPr>
    </w:p>
    <w:p w14:paraId="444598B1">
      <w:pPr>
        <w:pStyle w:val="6"/>
        <w:bidi w:val="0"/>
        <w:ind w:left="0" w:leftChars="0" w:firstLine="0" w:firstLineChars="0"/>
        <w:rPr>
          <w:rFonts w:hint="default" w:ascii="Times New Roman" w:hAnsi="Times New Roman" w:eastAsia="方正仿宋简体" w:cs="Times New Roman"/>
          <w:color w:val="auto"/>
          <w:kern w:val="2"/>
          <w:szCs w:val="32"/>
          <w:highlight w:val="none"/>
          <w:lang w:val="en-US" w:eastAsia="zh-CN" w:bidi="zh-CN"/>
        </w:rPr>
      </w:pPr>
      <w:bookmarkStart w:id="443" w:name="_Toc16023"/>
      <w:bookmarkStart w:id="444" w:name="_Toc29588"/>
      <w:r>
        <w:rPr>
          <w:rFonts w:hint="default" w:ascii="Times New Roman" w:hAnsi="Times New Roman" w:eastAsia="方正仿宋简体" w:cs="Times New Roman"/>
          <w:color w:val="auto"/>
          <w:kern w:val="2"/>
          <w:szCs w:val="32"/>
          <w:highlight w:val="none"/>
          <w:lang w:val="en-US" w:eastAsia="zh-CN" w:bidi="zh-CN"/>
        </w:rPr>
        <w:drawing>
          <wp:anchor distT="0" distB="0" distL="114300" distR="114300" simplePos="0" relativeHeight="251664384" behindDoc="0" locked="0" layoutInCell="1" allowOverlap="1">
            <wp:simplePos x="0" y="0"/>
            <wp:positionH relativeFrom="column">
              <wp:posOffset>0</wp:posOffset>
            </wp:positionH>
            <wp:positionV relativeFrom="paragraph">
              <wp:posOffset>845185</wp:posOffset>
            </wp:positionV>
            <wp:extent cx="5269865" cy="7165340"/>
            <wp:effectExtent l="0" t="0" r="6985" b="16510"/>
            <wp:wrapNone/>
            <wp:docPr id="22" name="图片 22" descr="2两残项目基础信息采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两残项目基础信息采集表"/>
                    <pic:cNvPicPr>
                      <a:picLocks noChangeAspect="1"/>
                    </pic:cNvPicPr>
                  </pic:nvPicPr>
                  <pic:blipFill>
                    <a:blip r:embed="rId12"/>
                    <a:stretch>
                      <a:fillRect/>
                    </a:stretch>
                  </pic:blipFill>
                  <pic:spPr>
                    <a:xfrm>
                      <a:off x="0" y="0"/>
                      <a:ext cx="5269865" cy="7165340"/>
                    </a:xfrm>
                    <a:prstGeom prst="rect">
                      <a:avLst/>
                    </a:prstGeom>
                  </pic:spPr>
                </pic:pic>
              </a:graphicData>
            </a:graphic>
          </wp:anchor>
        </w:drawing>
      </w:r>
      <w:r>
        <w:rPr>
          <w:rFonts w:hint="default"/>
          <w:lang w:val="en-US" w:eastAsia="zh-CN"/>
        </w:rPr>
        <w:t>附件2：2025年莎车县困难残疾人生活补贴和重度残疾人护理补贴项目基础信息采集表</w:t>
      </w:r>
      <w:r>
        <w:rPr>
          <w:rFonts w:hint="default" w:ascii="Times New Roman" w:hAnsi="Times New Roman" w:eastAsia="方正仿宋简体" w:cs="Times New Roman"/>
          <w:color w:val="auto"/>
          <w:kern w:val="2"/>
          <w:szCs w:val="32"/>
          <w:highlight w:val="none"/>
          <w:lang w:val="en-US" w:eastAsia="zh-CN" w:bidi="zh-CN"/>
        </w:rPr>
        <w:br w:type="page"/>
      </w:r>
      <w:bookmarkEnd w:id="443"/>
      <w:bookmarkEnd w:id="444"/>
    </w:p>
    <w:p w14:paraId="16E7C42D">
      <w:pPr>
        <w:pStyle w:val="6"/>
        <w:bidi w:val="0"/>
        <w:ind w:left="0" w:leftChars="0" w:firstLine="0" w:firstLineChars="0"/>
        <w:rPr>
          <w:rFonts w:hint="default"/>
          <w:lang w:val="en-US" w:eastAsia="zh-CN"/>
        </w:rPr>
        <w:sectPr>
          <w:pgSz w:w="11906" w:h="16838"/>
          <w:pgMar w:top="1440" w:right="1800" w:bottom="1440" w:left="1800" w:header="851" w:footer="992" w:gutter="0"/>
          <w:pgNumType w:fmt="numberInDash"/>
          <w:cols w:space="425" w:num="1"/>
          <w:docGrid w:type="lines" w:linePitch="312" w:charSpace="0"/>
        </w:sectPr>
      </w:pPr>
      <w:bookmarkStart w:id="445" w:name="_Toc26241"/>
      <w:bookmarkStart w:id="446" w:name="_Toc29078"/>
      <w:r>
        <w:rPr>
          <w:rFonts w:hint="default"/>
          <w:lang w:val="en-US" w:eastAsia="zh-CN"/>
        </w:rPr>
        <w:drawing>
          <wp:anchor distT="0" distB="0" distL="114300" distR="114300" simplePos="0" relativeHeight="251663360" behindDoc="0" locked="0" layoutInCell="1" allowOverlap="1">
            <wp:simplePos x="0" y="0"/>
            <wp:positionH relativeFrom="column">
              <wp:posOffset>-38100</wp:posOffset>
            </wp:positionH>
            <wp:positionV relativeFrom="paragraph">
              <wp:posOffset>584835</wp:posOffset>
            </wp:positionV>
            <wp:extent cx="5273040" cy="7171690"/>
            <wp:effectExtent l="0" t="0" r="3810" b="10160"/>
            <wp:wrapNone/>
            <wp:docPr id="21" name="图片 21" descr="3两残项目谈话记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两残项目谈话记录"/>
                    <pic:cNvPicPr>
                      <a:picLocks noChangeAspect="1"/>
                    </pic:cNvPicPr>
                  </pic:nvPicPr>
                  <pic:blipFill>
                    <a:blip r:embed="rId13"/>
                    <a:stretch>
                      <a:fillRect/>
                    </a:stretch>
                  </pic:blipFill>
                  <pic:spPr>
                    <a:xfrm>
                      <a:off x="0" y="0"/>
                      <a:ext cx="5273040" cy="7171690"/>
                    </a:xfrm>
                    <a:prstGeom prst="rect">
                      <a:avLst/>
                    </a:prstGeom>
                  </pic:spPr>
                </pic:pic>
              </a:graphicData>
            </a:graphic>
          </wp:anchor>
        </w:drawing>
      </w:r>
      <w:r>
        <w:rPr>
          <w:rFonts w:hint="default"/>
          <w:lang w:val="en-US" w:eastAsia="zh-CN"/>
        </w:rPr>
        <w:t>附件3：访谈记录</w:t>
      </w:r>
      <w:bookmarkEnd w:id="445"/>
      <w:bookmarkEnd w:id="446"/>
    </w:p>
    <w:p w14:paraId="7FF837A8">
      <w:pPr>
        <w:pStyle w:val="3"/>
        <w:keepNext w:val="0"/>
        <w:keepLines w:val="0"/>
        <w:pageBreakBefore w:val="0"/>
        <w:widowControl w:val="0"/>
        <w:kinsoku w:val="0"/>
        <w:wordWrap/>
        <w:overflowPunct w:val="0"/>
        <w:topLinePunct w:val="0"/>
        <w:autoSpaceDE w:val="0"/>
        <w:autoSpaceDN w:val="0"/>
        <w:bidi w:val="0"/>
        <w:adjustRightInd/>
        <w:snapToGrid/>
        <w:spacing w:line="240" w:lineRule="auto"/>
        <w:ind w:right="0" w:firstLine="0" w:firstLineChars="0"/>
        <w:jc w:val="left"/>
        <w:textAlignment w:val="auto"/>
        <w:rPr>
          <w:rFonts w:hint="default" w:ascii="Times New Roman" w:hAnsi="Times New Roman" w:eastAsia="方正仿宋简体" w:cs="Times New Roman"/>
          <w:color w:val="auto"/>
          <w:kern w:val="2"/>
          <w:sz w:val="32"/>
          <w:szCs w:val="32"/>
          <w:highlight w:val="none"/>
          <w:lang w:val="en-US" w:eastAsia="zh-CN" w:bidi="zh-CN"/>
        </w:rPr>
        <w:sectPr>
          <w:pgSz w:w="11906" w:h="16838"/>
          <w:pgMar w:top="1440" w:right="1800" w:bottom="1440" w:left="1800" w:header="851" w:footer="992" w:gutter="0"/>
          <w:pgNumType w:fmt="numberInDash"/>
          <w:cols w:space="425" w:num="1"/>
          <w:docGrid w:type="lines" w:linePitch="312" w:charSpace="0"/>
        </w:sectPr>
      </w:pPr>
      <w:bookmarkStart w:id="447" w:name="_Toc14847"/>
      <w:bookmarkStart w:id="448" w:name="_Toc31342"/>
      <w:r>
        <w:rPr>
          <w:rStyle w:val="41"/>
          <w:rFonts w:hint="default"/>
          <w:lang w:val="en-US" w:eastAsia="zh-CN"/>
        </w:rPr>
        <w:t>附件4：财政局绩效评价报告确认单</w:t>
      </w:r>
      <w:bookmarkEnd w:id="447"/>
      <w:bookmarkEnd w:id="448"/>
      <w:r>
        <w:rPr>
          <w:rFonts w:hint="default" w:ascii="Times New Roman" w:hAnsi="Times New Roman" w:eastAsia="方正仿宋简体" w:cs="Times New Roman"/>
          <w:color w:val="auto"/>
          <w:kern w:val="2"/>
          <w:sz w:val="32"/>
          <w:szCs w:val="32"/>
          <w:highlight w:val="none"/>
          <w:lang w:val="en-US" w:eastAsia="zh-CN" w:bidi="zh-CN"/>
        </w:rPr>
        <w:drawing>
          <wp:inline distT="0" distB="0" distL="114300" distR="114300">
            <wp:extent cx="5269865" cy="7224395"/>
            <wp:effectExtent l="0" t="0" r="3175" b="14605"/>
            <wp:docPr id="6" name="图片 6" descr="2025年莎车县困难残疾人生活补贴和重度残疾人护理补贴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5年莎车县困难残疾人生活补贴和重度残疾人护理补贴项目_02"/>
                    <pic:cNvPicPr>
                      <a:picLocks noChangeAspect="1"/>
                    </pic:cNvPicPr>
                  </pic:nvPicPr>
                  <pic:blipFill>
                    <a:blip r:embed="rId14"/>
                    <a:stretch>
                      <a:fillRect/>
                    </a:stretch>
                  </pic:blipFill>
                  <pic:spPr>
                    <a:xfrm>
                      <a:off x="0" y="0"/>
                      <a:ext cx="5269865" cy="7224395"/>
                    </a:xfrm>
                    <a:prstGeom prst="rect">
                      <a:avLst/>
                    </a:prstGeom>
                  </pic:spPr>
                </pic:pic>
              </a:graphicData>
            </a:graphic>
          </wp:inline>
        </w:drawing>
      </w:r>
    </w:p>
    <w:p w14:paraId="1C9FAA9C">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Style w:val="41"/>
          <w:rFonts w:hint="default"/>
          <w:lang w:val="en-US" w:eastAsia="zh-CN"/>
        </w:rPr>
      </w:pPr>
      <w:bookmarkStart w:id="449" w:name="_Toc28904"/>
      <w:bookmarkStart w:id="450" w:name="_Toc11990"/>
      <w:r>
        <w:rPr>
          <w:rStyle w:val="41"/>
          <w:rFonts w:hint="default"/>
          <w:lang w:val="en-US" w:eastAsia="zh-CN"/>
        </w:rPr>
        <w:t>附件5：预算单位绩效评价报告确认单</w:t>
      </w:r>
      <w:bookmarkEnd w:id="449"/>
      <w:bookmarkEnd w:id="450"/>
    </w:p>
    <w:p w14:paraId="213C8EE3">
      <w:pPr>
        <w:pStyle w:val="4"/>
        <w:rPr>
          <w:rStyle w:val="41"/>
          <w:rFonts w:hint="default"/>
          <w:lang w:val="en-US" w:eastAsia="zh-CN"/>
        </w:rPr>
      </w:pPr>
      <w:bookmarkStart w:id="518" w:name="_GoBack"/>
      <w:bookmarkEnd w:id="518"/>
    </w:p>
    <w:p w14:paraId="51AB1490">
      <w:pPr>
        <w:spacing w:line="240" w:lineRule="auto"/>
        <w:rPr>
          <w:rFonts w:hint="default"/>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lang w:val="en-US" w:eastAsia="zh-CN"/>
        </w:rPr>
        <w:drawing>
          <wp:inline distT="0" distB="0" distL="114300" distR="114300">
            <wp:extent cx="5269865" cy="7215505"/>
            <wp:effectExtent l="0" t="0" r="3175" b="8255"/>
            <wp:docPr id="7" name="图片 7" descr="2025年莎车县困难残疾人生活补贴和重度残疾人护理补贴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5年莎车县困难残疾人生活补贴和重度残疾人护理补贴项目_01"/>
                    <pic:cNvPicPr>
                      <a:picLocks noChangeAspect="1"/>
                    </pic:cNvPicPr>
                  </pic:nvPicPr>
                  <pic:blipFill>
                    <a:blip r:embed="rId15"/>
                    <a:stretch>
                      <a:fillRect/>
                    </a:stretch>
                  </pic:blipFill>
                  <pic:spPr>
                    <a:xfrm>
                      <a:off x="0" y="0"/>
                      <a:ext cx="5269865" cy="7215505"/>
                    </a:xfrm>
                    <a:prstGeom prst="rect">
                      <a:avLst/>
                    </a:prstGeom>
                  </pic:spPr>
                </pic:pic>
              </a:graphicData>
            </a:graphic>
          </wp:inline>
        </w:drawing>
      </w:r>
    </w:p>
    <w:p w14:paraId="6D900045">
      <w:pPr>
        <w:pStyle w:val="6"/>
        <w:bidi w:val="0"/>
        <w:ind w:left="0" w:leftChars="0" w:firstLine="0" w:firstLineChars="0"/>
        <w:outlineLvl w:val="0"/>
        <w:rPr>
          <w:rFonts w:hint="eastAsia"/>
          <w:lang w:eastAsia="zh-CN"/>
        </w:rPr>
      </w:pPr>
      <w:bookmarkStart w:id="451" w:name="_Toc5532"/>
      <w:bookmarkStart w:id="452" w:name="_Toc18307"/>
      <w:bookmarkStart w:id="453" w:name="_Toc21876"/>
      <w:bookmarkStart w:id="454" w:name="_Toc26416"/>
      <w:bookmarkStart w:id="455" w:name="_Toc23809"/>
      <w:bookmarkStart w:id="456" w:name="_Toc23118"/>
      <w:r>
        <w:rPr>
          <w:rFonts w:hint="eastAsia"/>
          <w:lang w:eastAsia="zh-CN"/>
        </w:rPr>
        <w:t>附件6：调查问卷结果分析报告及调查问卷样表</w:t>
      </w:r>
      <w:bookmarkEnd w:id="451"/>
      <w:bookmarkEnd w:id="452"/>
      <w:bookmarkEnd w:id="453"/>
      <w:bookmarkEnd w:id="454"/>
    </w:p>
    <w:p w14:paraId="31005D78">
      <w:pPr>
        <w:rPr>
          <w:rFonts w:hint="eastAsia"/>
          <w:lang w:eastAsia="zh-CN"/>
        </w:rPr>
      </w:pPr>
    </w:p>
    <w:p w14:paraId="6F17C912">
      <w:pPr>
        <w:pStyle w:val="8"/>
        <w:bidi w:val="0"/>
        <w:ind w:left="0" w:leftChars="0" w:firstLine="0" w:firstLineChars="0"/>
        <w:jc w:val="center"/>
        <w:rPr>
          <w:rFonts w:hint="eastAsia"/>
        </w:rPr>
      </w:pPr>
      <w:r>
        <w:rPr>
          <w:rFonts w:hint="eastAsia"/>
          <w:lang w:eastAsia="zh-CN"/>
        </w:rPr>
        <w:t>2025年莎车县困难残疾人生活补贴和重度残疾人护理补贴项目</w:t>
      </w:r>
      <w:r>
        <w:rPr>
          <w:rFonts w:hint="eastAsia"/>
        </w:rPr>
        <w:t>满意度调查问卷分析报告</w:t>
      </w:r>
      <w:bookmarkEnd w:id="455"/>
      <w:bookmarkEnd w:id="456"/>
    </w:p>
    <w:p w14:paraId="2D640309">
      <w:pPr>
        <w:bidi w:val="0"/>
        <w:rPr>
          <w:rFonts w:hint="eastAsia"/>
          <w:lang w:val="en-US" w:eastAsia="zh-CN"/>
        </w:rPr>
      </w:pPr>
      <w:bookmarkStart w:id="457" w:name="_Toc27569"/>
      <w:bookmarkStart w:id="458" w:name="_Toc29064"/>
      <w:bookmarkStart w:id="459" w:name="_Toc15677"/>
      <w:bookmarkStart w:id="460" w:name="_Toc26120"/>
      <w:bookmarkStart w:id="461" w:name="_Toc31514"/>
      <w:bookmarkStart w:id="462" w:name="_Toc22807"/>
      <w:r>
        <w:rPr>
          <w:rFonts w:hint="eastAsia"/>
          <w:lang w:val="en-US" w:eastAsia="zh-CN"/>
        </w:rPr>
        <w:t>绩效评价组结合现场调研情况以及项目工作开展情况，明确项目影响到的受益群体，通过调查问卷形式了解项目服务对象对莎车县民政局2025年莎车县困难残疾人生活补贴和重度残疾人护理补贴项目工作开展情况的满意程度，以及补助发放情况与现实需求的匹配程度。评价组为客观了解受助残疾人对项目工作的评价情况，展开满意度问卷调查。</w:t>
      </w:r>
    </w:p>
    <w:p w14:paraId="49F67096">
      <w:pPr>
        <w:pStyle w:val="26"/>
        <w:bidi w:val="0"/>
        <w:rPr>
          <w:rFonts w:hint="eastAsia"/>
        </w:rPr>
      </w:pPr>
      <w:bookmarkStart w:id="463" w:name="_Toc7912"/>
      <w:bookmarkStart w:id="464" w:name="_Toc7473"/>
      <w:bookmarkStart w:id="465" w:name="_Toc2177"/>
      <w:bookmarkStart w:id="466" w:name="_Toc10207"/>
      <w:r>
        <w:rPr>
          <w:rFonts w:hint="eastAsia"/>
        </w:rPr>
        <w:t>一、问卷调查群体</w:t>
      </w:r>
      <w:bookmarkEnd w:id="457"/>
      <w:bookmarkEnd w:id="458"/>
      <w:bookmarkEnd w:id="459"/>
      <w:bookmarkEnd w:id="460"/>
      <w:bookmarkEnd w:id="461"/>
      <w:bookmarkEnd w:id="462"/>
      <w:bookmarkEnd w:id="463"/>
      <w:bookmarkEnd w:id="464"/>
      <w:bookmarkEnd w:id="465"/>
      <w:bookmarkEnd w:id="466"/>
    </w:p>
    <w:p w14:paraId="374ED48D">
      <w:pPr>
        <w:bidi w:val="0"/>
        <w:rPr>
          <w:rFonts w:hint="eastAsia"/>
        </w:rPr>
      </w:pPr>
      <w:r>
        <w:rPr>
          <w:rFonts w:hint="eastAsia"/>
          <w:lang w:eastAsia="zh-CN"/>
        </w:rPr>
        <w:t>结合</w:t>
      </w:r>
      <w:r>
        <w:rPr>
          <w:rFonts w:hint="eastAsia"/>
          <w:lang w:val="en-US" w:eastAsia="zh-CN"/>
        </w:rPr>
        <w:t>莎车县民政局2025年莎车县困难残疾人生活补贴和重度残疾人护理补贴项目工作实施情况，</w:t>
      </w:r>
      <w:r>
        <w:rPr>
          <w:rFonts w:hint="eastAsia"/>
        </w:rPr>
        <w:t>本次满意度调查问卷</w:t>
      </w:r>
      <w:r>
        <w:rPr>
          <w:rFonts w:hint="eastAsia"/>
          <w:lang w:eastAsia="zh-CN"/>
        </w:rPr>
        <w:t>旨在考察</w:t>
      </w:r>
      <w:r>
        <w:rPr>
          <w:rFonts w:hint="eastAsia"/>
          <w:lang w:val="en-US" w:eastAsia="zh-CN"/>
        </w:rPr>
        <w:t>受助残疾人</w:t>
      </w:r>
      <w:r>
        <w:rPr>
          <w:rFonts w:hint="eastAsia"/>
          <w:lang w:eastAsia="zh-CN"/>
        </w:rPr>
        <w:t>对项目实施过程中补助发放等方面满意度情况。因此，本次满意度</w:t>
      </w:r>
      <w:r>
        <w:rPr>
          <w:rFonts w:hint="eastAsia"/>
        </w:rPr>
        <w:t>调查对象</w:t>
      </w:r>
      <w:r>
        <w:rPr>
          <w:rFonts w:hint="eastAsia"/>
          <w:lang w:eastAsia="zh-CN"/>
        </w:rPr>
        <w:t>为</w:t>
      </w:r>
      <w:r>
        <w:rPr>
          <w:rFonts w:hint="eastAsia"/>
          <w:lang w:val="en-US" w:eastAsia="zh-CN"/>
        </w:rPr>
        <w:t>受助残疾人</w:t>
      </w:r>
      <w:r>
        <w:rPr>
          <w:rFonts w:hint="eastAsia"/>
        </w:rPr>
        <w:t>。</w:t>
      </w:r>
    </w:p>
    <w:p w14:paraId="53733F67">
      <w:pPr>
        <w:pStyle w:val="26"/>
        <w:bidi w:val="0"/>
        <w:rPr>
          <w:rFonts w:hint="eastAsia"/>
          <w:lang w:eastAsia="zh-CN"/>
        </w:rPr>
      </w:pPr>
      <w:bookmarkStart w:id="467" w:name="_Toc18091"/>
      <w:bookmarkStart w:id="468" w:name="_Toc10449"/>
      <w:bookmarkStart w:id="469" w:name="_Toc17487"/>
      <w:bookmarkStart w:id="470" w:name="_Toc2591"/>
      <w:bookmarkStart w:id="471" w:name="_Toc20373"/>
      <w:bookmarkStart w:id="472" w:name="_Toc32739"/>
      <w:bookmarkStart w:id="473" w:name="_Toc22971"/>
      <w:bookmarkStart w:id="474" w:name="_Toc25715"/>
      <w:bookmarkStart w:id="475" w:name="_Toc3447"/>
      <w:bookmarkStart w:id="476" w:name="_Toc24165"/>
      <w:r>
        <w:rPr>
          <w:rFonts w:hint="eastAsia"/>
        </w:rPr>
        <w:t>二、问卷调查</w:t>
      </w:r>
      <w:bookmarkEnd w:id="467"/>
      <w:bookmarkEnd w:id="468"/>
      <w:bookmarkEnd w:id="469"/>
      <w:bookmarkEnd w:id="470"/>
      <w:bookmarkEnd w:id="471"/>
      <w:bookmarkEnd w:id="472"/>
      <w:r>
        <w:rPr>
          <w:rFonts w:hint="eastAsia"/>
          <w:lang w:eastAsia="zh-CN"/>
        </w:rPr>
        <w:t>内容</w:t>
      </w:r>
      <w:bookmarkEnd w:id="473"/>
      <w:bookmarkEnd w:id="474"/>
      <w:bookmarkEnd w:id="475"/>
      <w:bookmarkEnd w:id="476"/>
    </w:p>
    <w:p w14:paraId="24366316">
      <w:pPr>
        <w:bidi w:val="0"/>
        <w:rPr>
          <w:rFonts w:hint="eastAsia"/>
          <w:lang w:val="en-US" w:eastAsia="zh-CN"/>
        </w:rPr>
      </w:pPr>
      <w:r>
        <w:rPr>
          <w:rFonts w:hint="eastAsia"/>
          <w:lang w:eastAsia="zh-CN"/>
        </w:rPr>
        <w:t>调查内容为</w:t>
      </w:r>
      <w:r>
        <w:rPr>
          <w:rFonts w:hint="eastAsia"/>
          <w:lang w:val="en-US" w:eastAsia="zh-CN"/>
        </w:rPr>
        <w:t>受助残疾人</w:t>
      </w:r>
      <w:r>
        <w:rPr>
          <w:rFonts w:hint="eastAsia"/>
          <w:lang w:eastAsia="zh-CN"/>
        </w:rPr>
        <w:t>对</w:t>
      </w:r>
      <w:r>
        <w:rPr>
          <w:rFonts w:hint="eastAsia"/>
          <w:lang w:val="en-US" w:eastAsia="zh-CN"/>
        </w:rPr>
        <w:t>莎车县民政局2025年莎车县困难残疾人生活补贴和重度残疾人护理补贴项目工作实施后的满意度，包括受助残疾人对相关政策、待遇领取、生活质量水平及莎车县民政局社会服务保障能力等方面满意度情况。</w:t>
      </w:r>
      <w:bookmarkStart w:id="477" w:name="_Toc6514"/>
      <w:bookmarkStart w:id="478" w:name="_Toc6908"/>
      <w:bookmarkStart w:id="479" w:name="_Toc8908"/>
    </w:p>
    <w:p w14:paraId="461BA166">
      <w:pPr>
        <w:pStyle w:val="26"/>
        <w:bidi w:val="0"/>
        <w:rPr>
          <w:rFonts w:hint="eastAsia"/>
        </w:rPr>
      </w:pPr>
      <w:bookmarkStart w:id="480" w:name="_Toc22666"/>
      <w:bookmarkStart w:id="481" w:name="_Toc9292"/>
      <w:bookmarkStart w:id="482" w:name="_Toc22131"/>
      <w:bookmarkStart w:id="483" w:name="_Toc9007"/>
      <w:r>
        <w:rPr>
          <w:rFonts w:hint="eastAsia"/>
          <w:lang w:eastAsia="zh-CN"/>
        </w:rPr>
        <w:t>三、</w:t>
      </w:r>
      <w:r>
        <w:rPr>
          <w:rFonts w:hint="eastAsia"/>
        </w:rPr>
        <w:t>问卷调查方式</w:t>
      </w:r>
      <w:bookmarkEnd w:id="477"/>
      <w:bookmarkEnd w:id="478"/>
      <w:bookmarkEnd w:id="479"/>
      <w:bookmarkEnd w:id="480"/>
      <w:bookmarkEnd w:id="481"/>
      <w:bookmarkEnd w:id="482"/>
      <w:bookmarkEnd w:id="483"/>
    </w:p>
    <w:p w14:paraId="336D22A6">
      <w:pPr>
        <w:bidi w:val="0"/>
        <w:rPr>
          <w:rFonts w:hint="eastAsia"/>
        </w:rPr>
      </w:pPr>
      <w:r>
        <w:rPr>
          <w:rFonts w:hint="eastAsia"/>
          <w:lang w:eastAsia="zh-CN"/>
        </w:rPr>
        <w:t>为确保问卷调查的全面性和代表性，</w:t>
      </w:r>
      <w:r>
        <w:rPr>
          <w:rFonts w:hint="eastAsia"/>
        </w:rPr>
        <w:t>本次采用抽样调查</w:t>
      </w:r>
      <w:r>
        <w:rPr>
          <w:rFonts w:hint="eastAsia"/>
          <w:lang w:eastAsia="zh-CN"/>
        </w:rPr>
        <w:t>和重点选取的</w:t>
      </w:r>
      <w:r>
        <w:rPr>
          <w:rFonts w:hint="eastAsia"/>
        </w:rPr>
        <w:t>方式</w:t>
      </w:r>
      <w:r>
        <w:rPr>
          <w:rFonts w:hint="eastAsia"/>
          <w:lang w:eastAsia="zh-CN"/>
        </w:rPr>
        <w:t>进行</w:t>
      </w:r>
      <w:r>
        <w:rPr>
          <w:rFonts w:hint="eastAsia"/>
        </w:rPr>
        <w:t>，对</w:t>
      </w:r>
      <w:r>
        <w:rPr>
          <w:rFonts w:hint="eastAsia"/>
          <w:lang w:val="en-US" w:eastAsia="zh-CN"/>
        </w:rPr>
        <w:t>受助残疾人</w:t>
      </w:r>
      <w:r>
        <w:rPr>
          <w:rFonts w:hint="eastAsia"/>
        </w:rPr>
        <w:t>进行</w:t>
      </w:r>
      <w:r>
        <w:rPr>
          <w:rFonts w:hint="eastAsia"/>
          <w:lang w:eastAsia="zh-CN"/>
        </w:rPr>
        <w:t>抽样</w:t>
      </w:r>
      <w:r>
        <w:rPr>
          <w:rFonts w:hint="eastAsia"/>
        </w:rPr>
        <w:t>调查，在项目单位协助下，</w:t>
      </w:r>
      <w:r>
        <w:rPr>
          <w:rFonts w:hint="eastAsia"/>
          <w:lang w:eastAsia="zh-CN"/>
        </w:rPr>
        <w:t>对</w:t>
      </w:r>
      <w:r>
        <w:rPr>
          <w:rFonts w:hint="eastAsia"/>
          <w:lang w:val="en-US" w:eastAsia="zh-CN"/>
        </w:rPr>
        <w:t>2025年度受助残疾人随机抽取200人为样本，</w:t>
      </w:r>
      <w:r>
        <w:rPr>
          <w:rFonts w:hint="eastAsia"/>
        </w:rPr>
        <w:t>发放调查问卷</w:t>
      </w:r>
      <w:r>
        <w:rPr>
          <w:rFonts w:hint="eastAsia"/>
          <w:lang w:val="en-US" w:eastAsia="zh-CN"/>
        </w:rPr>
        <w:t>200</w:t>
      </w:r>
      <w:r>
        <w:rPr>
          <w:rFonts w:hint="eastAsia"/>
        </w:rPr>
        <w:t>份。</w:t>
      </w:r>
      <w:bookmarkStart w:id="484" w:name="_Toc19483"/>
      <w:bookmarkStart w:id="485" w:name="_Toc11802"/>
      <w:bookmarkStart w:id="486" w:name="_Toc21286"/>
    </w:p>
    <w:p w14:paraId="44D62D53">
      <w:pPr>
        <w:pStyle w:val="26"/>
        <w:bidi w:val="0"/>
        <w:rPr>
          <w:rFonts w:hint="eastAsia"/>
          <w:lang w:eastAsia="zh-CN"/>
        </w:rPr>
      </w:pPr>
      <w:bookmarkStart w:id="487" w:name="_Toc31784"/>
      <w:bookmarkStart w:id="488" w:name="_Toc28364"/>
      <w:bookmarkStart w:id="489" w:name="_Toc1357"/>
      <w:bookmarkStart w:id="490" w:name="_Toc7882"/>
      <w:r>
        <w:rPr>
          <w:rFonts w:hint="eastAsia"/>
          <w:lang w:eastAsia="zh-CN"/>
        </w:rPr>
        <w:t>四、问卷调查的发放和回收</w:t>
      </w:r>
      <w:bookmarkEnd w:id="484"/>
      <w:bookmarkEnd w:id="485"/>
      <w:bookmarkEnd w:id="486"/>
      <w:bookmarkEnd w:id="487"/>
      <w:bookmarkEnd w:id="488"/>
      <w:bookmarkEnd w:id="489"/>
      <w:bookmarkEnd w:id="490"/>
    </w:p>
    <w:p w14:paraId="4BFCADB9">
      <w:pPr>
        <w:bidi w:val="0"/>
        <w:rPr>
          <w:rFonts w:hint="eastAsia"/>
          <w:lang w:eastAsia="zh-CN"/>
        </w:rPr>
      </w:pPr>
      <w:r>
        <w:rPr>
          <w:rFonts w:hint="eastAsia"/>
          <w:lang w:eastAsia="zh-CN"/>
        </w:rPr>
        <w:t>为充分采集调查对象的真实想法，保障问卷调查的公平性和科学性，本次问卷调查不记名，采用纸质问卷形式发放与回收。</w:t>
      </w:r>
    </w:p>
    <w:p w14:paraId="3FA4316E">
      <w:pPr>
        <w:pStyle w:val="26"/>
        <w:bidi w:val="0"/>
        <w:rPr>
          <w:rFonts w:hint="eastAsia"/>
        </w:rPr>
      </w:pPr>
      <w:bookmarkStart w:id="491" w:name="_Toc14773"/>
      <w:bookmarkStart w:id="492" w:name="_Toc18358"/>
      <w:bookmarkStart w:id="493" w:name="_Toc8846"/>
      <w:bookmarkStart w:id="494" w:name="_Toc17265"/>
      <w:bookmarkStart w:id="495" w:name="_Toc20507"/>
      <w:bookmarkStart w:id="496" w:name="_Toc28124"/>
      <w:bookmarkStart w:id="497" w:name="_Toc21091"/>
      <w:bookmarkStart w:id="498" w:name="_Toc25445"/>
      <w:bookmarkStart w:id="499" w:name="_Toc10796"/>
      <w:bookmarkStart w:id="500" w:name="_Toc32509"/>
      <w:bookmarkStart w:id="501" w:name="_Toc32577"/>
      <w:bookmarkStart w:id="502" w:name="_Toc24682"/>
      <w:bookmarkStart w:id="503" w:name="_Toc9067"/>
      <w:bookmarkStart w:id="504" w:name="_Toc25736"/>
      <w:bookmarkStart w:id="505" w:name="_Toc14212"/>
      <w:r>
        <w:rPr>
          <w:rFonts w:hint="eastAsia"/>
          <w:lang w:eastAsia="zh-CN"/>
        </w:rPr>
        <w:t>五</w:t>
      </w:r>
      <w:r>
        <w:rPr>
          <w:rFonts w:hint="eastAsia"/>
        </w:rPr>
        <w:t>、</w:t>
      </w:r>
      <w:r>
        <w:rPr>
          <w:rFonts w:hint="eastAsia"/>
          <w:lang w:eastAsia="zh-CN"/>
        </w:rPr>
        <w:t>问卷调查</w:t>
      </w:r>
      <w:r>
        <w:rPr>
          <w:rFonts w:hint="eastAsia"/>
        </w:rPr>
        <w:t>计算方式</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2C2FA5B5">
      <w:pPr>
        <w:bidi w:val="0"/>
        <w:rPr>
          <w:rFonts w:hint="eastAsia"/>
        </w:rPr>
      </w:pPr>
      <w:r>
        <w:rPr>
          <w:rFonts w:hint="eastAsia"/>
        </w:rPr>
        <w:t>满意度=调查结果为“是”统计数/回收问卷数*100%</w:t>
      </w:r>
    </w:p>
    <w:p w14:paraId="1E1083CF">
      <w:pPr>
        <w:pStyle w:val="26"/>
        <w:bidi w:val="0"/>
        <w:rPr>
          <w:rFonts w:hint="eastAsia"/>
        </w:rPr>
      </w:pPr>
      <w:bookmarkStart w:id="506" w:name="_Toc10335"/>
      <w:bookmarkStart w:id="507" w:name="_Toc5017"/>
      <w:bookmarkStart w:id="508" w:name="_Toc26220"/>
      <w:bookmarkStart w:id="509" w:name="_Toc30395"/>
      <w:bookmarkStart w:id="510" w:name="_Toc26701"/>
      <w:bookmarkStart w:id="511" w:name="_Toc17985"/>
      <w:bookmarkStart w:id="512" w:name="_Toc14991"/>
      <w:bookmarkStart w:id="513" w:name="_Toc2718"/>
      <w:bookmarkStart w:id="514" w:name="_Toc6287"/>
      <w:bookmarkStart w:id="515" w:name="_Toc31417"/>
      <w:r>
        <w:rPr>
          <w:rFonts w:hint="eastAsia"/>
          <w:lang w:eastAsia="zh-CN"/>
        </w:rPr>
        <w:t>六</w:t>
      </w:r>
      <w:r>
        <w:rPr>
          <w:rFonts w:hint="eastAsia"/>
        </w:rPr>
        <w:t>、满意度调查结果分析</w:t>
      </w:r>
      <w:bookmarkEnd w:id="506"/>
      <w:bookmarkEnd w:id="507"/>
      <w:bookmarkEnd w:id="508"/>
      <w:bookmarkEnd w:id="509"/>
      <w:bookmarkEnd w:id="510"/>
      <w:bookmarkEnd w:id="511"/>
      <w:bookmarkEnd w:id="512"/>
      <w:bookmarkEnd w:id="513"/>
      <w:bookmarkEnd w:id="514"/>
      <w:bookmarkEnd w:id="515"/>
    </w:p>
    <w:p w14:paraId="5CAF9F62">
      <w:pPr>
        <w:bidi w:val="0"/>
        <w:rPr>
          <w:rFonts w:hint="eastAsia"/>
        </w:rPr>
      </w:pPr>
      <w:r>
        <w:rPr>
          <w:rFonts w:hint="eastAsia"/>
        </w:rPr>
        <w:t>为客观评价</w:t>
      </w:r>
      <w:r>
        <w:rPr>
          <w:rFonts w:hint="eastAsia"/>
          <w:lang w:val="en-US" w:eastAsia="zh-CN"/>
        </w:rPr>
        <w:t>2025年莎车县困难残疾人生活补贴和重度残疾人护理补贴项目受助残疾人</w:t>
      </w:r>
      <w:r>
        <w:rPr>
          <w:rFonts w:hint="eastAsia"/>
        </w:rPr>
        <w:t>满意度情况，本次抽样发放满意度调查问卷</w:t>
      </w:r>
      <w:r>
        <w:rPr>
          <w:rFonts w:hint="eastAsia"/>
          <w:lang w:val="en-US" w:eastAsia="zh-CN"/>
        </w:rPr>
        <w:t>200</w:t>
      </w:r>
      <w:r>
        <w:rPr>
          <w:rFonts w:hint="eastAsia"/>
        </w:rPr>
        <w:t>份，回收</w:t>
      </w:r>
      <w:r>
        <w:rPr>
          <w:rFonts w:hint="eastAsia"/>
          <w:lang w:val="en-US" w:eastAsia="zh-CN"/>
        </w:rPr>
        <w:t>200</w:t>
      </w:r>
      <w:r>
        <w:rPr>
          <w:rFonts w:hint="eastAsia"/>
        </w:rPr>
        <w:t>份，</w:t>
      </w:r>
      <w:r>
        <w:rPr>
          <w:rFonts w:hint="eastAsia"/>
          <w:lang w:eastAsia="zh-CN"/>
        </w:rPr>
        <w:t>问卷回收率为</w:t>
      </w:r>
      <w:r>
        <w:rPr>
          <w:rFonts w:hint="eastAsia"/>
          <w:lang w:val="en-US" w:eastAsia="zh-CN"/>
        </w:rPr>
        <w:t>100%，有效问卷200份，有效回收率100%，调查问卷总体满意度为95%，</w:t>
      </w:r>
      <w:r>
        <w:rPr>
          <w:rFonts w:hint="eastAsia"/>
        </w:rPr>
        <w:t>具体调查情况如下：</w:t>
      </w:r>
    </w:p>
    <w:p w14:paraId="054DE6AB">
      <w:pPr>
        <w:spacing w:line="560" w:lineRule="exact"/>
        <w:ind w:firstLine="640" w:firstLineChars="200"/>
        <w:rPr>
          <w:rFonts w:hint="eastAsia" w:ascii="方正仿宋_GBK" w:hAnsi="方正仿宋_GBK" w:eastAsia="方正仿宋_GBK" w:cs="方正仿宋_GBK"/>
          <w:color w:val="auto"/>
          <w:sz w:val="32"/>
          <w:szCs w:val="32"/>
        </w:rPr>
      </w:pPr>
    </w:p>
    <w:tbl>
      <w:tblPr>
        <w:tblStyle w:val="36"/>
        <w:tblW w:w="8410" w:type="dxa"/>
        <w:tblInd w:w="113" w:type="dxa"/>
        <w:tblLayout w:type="fixed"/>
        <w:tblCellMar>
          <w:top w:w="0" w:type="dxa"/>
          <w:left w:w="108" w:type="dxa"/>
          <w:bottom w:w="0" w:type="dxa"/>
          <w:right w:w="108" w:type="dxa"/>
        </w:tblCellMar>
      </w:tblPr>
      <w:tblGrid>
        <w:gridCol w:w="722"/>
        <w:gridCol w:w="3209"/>
        <w:gridCol w:w="956"/>
        <w:gridCol w:w="1139"/>
        <w:gridCol w:w="1356"/>
        <w:gridCol w:w="1028"/>
      </w:tblGrid>
      <w:tr w14:paraId="2DEA5599">
        <w:tblPrEx>
          <w:tblCellMar>
            <w:top w:w="0" w:type="dxa"/>
            <w:left w:w="108" w:type="dxa"/>
            <w:bottom w:w="0" w:type="dxa"/>
            <w:right w:w="108" w:type="dxa"/>
          </w:tblCellMar>
        </w:tblPrEx>
        <w:tc>
          <w:tcPr>
            <w:tcW w:w="722" w:type="dxa"/>
            <w:tcBorders>
              <w:top w:val="single" w:color="auto" w:sz="4" w:space="0"/>
              <w:left w:val="single" w:color="auto" w:sz="4" w:space="0"/>
              <w:bottom w:val="single" w:color="auto" w:sz="4" w:space="0"/>
              <w:right w:val="single" w:color="auto" w:sz="4" w:space="0"/>
            </w:tcBorders>
            <w:noWrap w:val="0"/>
            <w:vAlign w:val="center"/>
          </w:tcPr>
          <w:p w14:paraId="6101C3A2">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序号</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3EC606DF">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问题</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C026156">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回收数</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19F13AE1">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结果为“是”统计数</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18C04A3">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结果为“否”统计数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1ED0C48">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结果为“是”占比</w:t>
            </w:r>
          </w:p>
        </w:tc>
      </w:tr>
      <w:tr w14:paraId="6C4D409D">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41EF80E3">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3B4A4180">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您</w:t>
            </w:r>
            <w:r>
              <w:rPr>
                <w:rFonts w:hint="eastAsia" w:cs="方正仿宋_GBK"/>
                <w:color w:val="auto"/>
                <w:sz w:val="21"/>
                <w:szCs w:val="21"/>
                <w:lang w:eastAsia="zh-CN"/>
              </w:rPr>
              <w:t>是否清楚困难残疾人生活补贴、重度残疾人护理补贴申领条件</w:t>
            </w:r>
            <w:r>
              <w:rPr>
                <w:rFonts w:hint="eastAsia" w:ascii="方正仿宋_GBK" w:hAnsi="方正仿宋_GBK" w:eastAsia="方正仿宋_GBK" w:cs="方正仿宋_GBK"/>
                <w:color w:val="auto"/>
                <w:sz w:val="21"/>
                <w:szCs w:val="21"/>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739E28D0">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69FAEFFF">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C8EE517">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7AC8FBD">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100%</w:t>
            </w:r>
          </w:p>
        </w:tc>
      </w:tr>
      <w:tr w14:paraId="713F7695">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59EFFDB0">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2</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3119EA9A">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补贴发放是否提升了您的生活质量</w:t>
            </w:r>
            <w:r>
              <w:rPr>
                <w:rFonts w:hint="default" w:ascii="方正仿宋_GBK" w:hAnsi="方正仿宋_GBK" w:eastAsia="方正仿宋_GBK" w:cs="方正仿宋_GBK"/>
                <w:color w:val="auto"/>
                <w:sz w:val="21"/>
                <w:szCs w:val="21"/>
                <w:lang w:val="en-US"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3C06B390">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39565E11">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15094240">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C1CD678">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100%</w:t>
            </w:r>
          </w:p>
        </w:tc>
      </w:tr>
      <w:tr w14:paraId="08552E3A">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06EAAF18">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3</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710EE9B9">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您对工作人员办事效率是否满意</w:t>
            </w:r>
            <w:r>
              <w:rPr>
                <w:rFonts w:hint="default" w:ascii="方正仿宋_GBK" w:hAnsi="方正仿宋_GBK" w:eastAsia="方正仿宋_GBK" w:cs="方正仿宋_GBK"/>
                <w:color w:val="auto"/>
                <w:sz w:val="21"/>
                <w:szCs w:val="21"/>
                <w:lang w:val="en-US"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0B94212">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BF2D246">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44EE43B">
            <w:pPr>
              <w:keepNext w:val="0"/>
              <w:keepLines w:val="0"/>
              <w:suppressLineNumbers w:val="0"/>
              <w:spacing w:before="0" w:beforeAutospacing="0" w:after="0" w:afterAutospacing="0" w:line="560" w:lineRule="exact"/>
              <w:ind w:left="0" w:leftChars="0" w:right="0" w:rightChars="0" w:firstLine="0" w:firstLineChars="0"/>
              <w:jc w:val="center"/>
              <w:rPr>
                <w:rFonts w:hint="eastAsia" w:ascii="方正仿宋_GBK" w:hAnsi="方正仿宋_GBK" w:eastAsia="方正仿宋_GBK" w:cs="方正仿宋_GBK"/>
                <w:color w:val="auto"/>
                <w:sz w:val="21"/>
                <w:szCs w:val="21"/>
                <w:lang w:eastAsia="zh-CN"/>
              </w:rPr>
            </w:pPr>
            <w:r>
              <w:rPr>
                <w:rFonts w:hint="eastAsia" w:ascii="方正仿宋_GBK" w:hAnsi="方正仿宋_GBK" w:eastAsia="方正仿宋_GBK" w:cs="方正仿宋_GBK"/>
                <w:color w:val="auto"/>
                <w:sz w:val="21"/>
                <w:szCs w:val="21"/>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60458830">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lang w:val="en-US" w:eastAsia="zh-CN"/>
              </w:rPr>
              <w:t>100</w:t>
            </w:r>
            <w:r>
              <w:rPr>
                <w:rFonts w:hint="eastAsia" w:ascii="方正仿宋_GBK" w:hAnsi="方正仿宋_GBK" w:eastAsia="方正仿宋_GBK" w:cs="方正仿宋_GBK"/>
                <w:color w:val="auto"/>
                <w:sz w:val="21"/>
                <w:szCs w:val="21"/>
              </w:rPr>
              <w:t>%</w:t>
            </w:r>
          </w:p>
        </w:tc>
      </w:tr>
      <w:tr w14:paraId="55221653">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06E1EF48">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4</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6440AEDF">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您每月是否能在15日前足额收到残疾人两项补贴</w:t>
            </w:r>
            <w:r>
              <w:rPr>
                <w:rFonts w:hint="eastAsia" w:ascii="方正仿宋_GBK" w:hAnsi="方正仿宋_GBK" w:eastAsia="方正仿宋_GBK" w:cs="方正仿宋_GBK"/>
                <w:color w:val="auto"/>
                <w:sz w:val="21"/>
                <w:szCs w:val="21"/>
                <w:lang w:val="en-US"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0106AE62">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7400ECF3">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44595C9A">
            <w:pPr>
              <w:keepNext w:val="0"/>
              <w:keepLines w:val="0"/>
              <w:suppressLineNumbers w:val="0"/>
              <w:spacing w:before="0" w:beforeAutospacing="0" w:after="0" w:afterAutospacing="0" w:line="560" w:lineRule="exact"/>
              <w:ind w:left="0" w:leftChars="0" w:right="0" w:rightChars="0" w:firstLine="0" w:firstLineChars="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rPr>
              <w:t>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690F48D">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100%</w:t>
            </w:r>
          </w:p>
        </w:tc>
      </w:tr>
      <w:tr w14:paraId="7CC559E6">
        <w:tblPrEx>
          <w:tblCellMar>
            <w:top w:w="0" w:type="dxa"/>
            <w:left w:w="108" w:type="dxa"/>
            <w:bottom w:w="0" w:type="dxa"/>
            <w:right w:w="108" w:type="dxa"/>
          </w:tblCellMar>
        </w:tblPrEx>
        <w:trPr>
          <w:trHeight w:val="113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14:paraId="6F92919E">
            <w:pPr>
              <w:keepNext w:val="0"/>
              <w:keepLines w:val="0"/>
              <w:suppressLineNumbers w:val="0"/>
              <w:spacing w:before="0" w:beforeAutospacing="0" w:after="0" w:afterAutospacing="0" w:line="560" w:lineRule="exact"/>
              <w:ind w:left="0" w:right="0"/>
              <w:jc w:val="center"/>
              <w:rPr>
                <w:rFonts w:hint="eastAsia"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5</w:t>
            </w:r>
          </w:p>
        </w:tc>
        <w:tc>
          <w:tcPr>
            <w:tcW w:w="3209" w:type="dxa"/>
            <w:tcBorders>
              <w:top w:val="single" w:color="auto" w:sz="4" w:space="0"/>
              <w:left w:val="single" w:color="auto" w:sz="4" w:space="0"/>
              <w:bottom w:val="single" w:color="auto" w:sz="4" w:space="0"/>
              <w:right w:val="single" w:color="auto" w:sz="4" w:space="0"/>
            </w:tcBorders>
            <w:noWrap w:val="0"/>
            <w:vAlign w:val="center"/>
          </w:tcPr>
          <w:p w14:paraId="64887D78">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21"/>
                <w:szCs w:val="21"/>
                <w:lang w:eastAsia="zh-CN"/>
              </w:rPr>
            </w:pPr>
            <w:r>
              <w:rPr>
                <w:rFonts w:hint="eastAsia" w:cs="方正仿宋_GBK"/>
                <w:color w:val="auto"/>
                <w:sz w:val="21"/>
                <w:szCs w:val="21"/>
                <w:lang w:eastAsia="zh-CN"/>
              </w:rPr>
              <w:t>您对补贴发放、基层服务、政策宣传等总体工作是</w:t>
            </w:r>
            <w:r>
              <w:rPr>
                <w:rFonts w:hint="eastAsia" w:ascii="方正仿宋_GBK" w:hAnsi="方正仿宋_GBK" w:eastAsia="方正仿宋_GBK" w:cs="方正仿宋_GBK"/>
                <w:color w:val="auto"/>
                <w:sz w:val="21"/>
                <w:szCs w:val="21"/>
                <w:lang w:eastAsia="zh-CN"/>
              </w:rPr>
              <w:t>否满意？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0CFBBE09">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200</w:t>
            </w:r>
          </w:p>
        </w:tc>
        <w:tc>
          <w:tcPr>
            <w:tcW w:w="1139" w:type="dxa"/>
            <w:tcBorders>
              <w:top w:val="single" w:color="auto" w:sz="4" w:space="0"/>
              <w:left w:val="single" w:color="auto" w:sz="4" w:space="0"/>
              <w:bottom w:val="single" w:color="auto" w:sz="4" w:space="0"/>
              <w:right w:val="single" w:color="auto" w:sz="4" w:space="0"/>
            </w:tcBorders>
            <w:noWrap w:val="0"/>
            <w:vAlign w:val="center"/>
          </w:tcPr>
          <w:p w14:paraId="405F7161">
            <w:pPr>
              <w:keepNext w:val="0"/>
              <w:keepLines w:val="0"/>
              <w:suppressLineNumbers w:val="0"/>
              <w:spacing w:before="0" w:beforeAutospacing="0" w:after="0" w:afterAutospacing="0" w:line="560" w:lineRule="exact"/>
              <w:ind w:left="0" w:right="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190</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246EEC15">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cs="方正仿宋_GBK"/>
                <w:color w:val="auto"/>
                <w:sz w:val="21"/>
                <w:szCs w:val="21"/>
                <w:lang w:val="en-US" w:eastAsia="zh-CN"/>
              </w:rPr>
              <w:t>10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FAA5E06">
            <w:pPr>
              <w:keepNext w:val="0"/>
              <w:keepLines w:val="0"/>
              <w:suppressLineNumbers w:val="0"/>
              <w:spacing w:before="0" w:beforeAutospacing="0" w:after="0" w:afterAutospacing="0" w:line="560" w:lineRule="exact"/>
              <w:ind w:left="0" w:leftChars="0" w:right="0" w:firstLine="0" w:firstLineChars="0"/>
              <w:jc w:val="center"/>
              <w:rPr>
                <w:rFonts w:hint="default" w:ascii="方正仿宋_GBK" w:hAnsi="方正仿宋_GBK" w:eastAsia="方正仿宋_GBK" w:cs="方正仿宋_GBK"/>
                <w:color w:val="auto"/>
                <w:sz w:val="21"/>
                <w:szCs w:val="21"/>
                <w:lang w:val="en-US" w:eastAsia="zh-CN"/>
              </w:rPr>
            </w:pPr>
            <w:r>
              <w:rPr>
                <w:rFonts w:hint="eastAsia" w:ascii="方正仿宋_GBK" w:hAnsi="方正仿宋_GBK" w:eastAsia="方正仿宋_GBK" w:cs="方正仿宋_GBK"/>
                <w:color w:val="auto"/>
                <w:sz w:val="21"/>
                <w:szCs w:val="21"/>
                <w:lang w:val="en-US" w:eastAsia="zh-CN"/>
              </w:rPr>
              <w:t>95%</w:t>
            </w:r>
          </w:p>
        </w:tc>
      </w:tr>
    </w:tbl>
    <w:p w14:paraId="24EA09D3">
      <w:pPr>
        <w:bidi w:val="0"/>
        <w:rPr>
          <w:rFonts w:hint="eastAsia"/>
          <w:lang w:eastAsia="zh-CN"/>
        </w:rPr>
        <w:sectPr>
          <w:pgSz w:w="11906" w:h="16838"/>
          <w:pgMar w:top="1984" w:right="1531" w:bottom="1701" w:left="1531" w:header="851" w:footer="1304" w:gutter="0"/>
          <w:pgNumType w:fmt="numberInDash"/>
          <w:cols w:space="0" w:num="1"/>
          <w:rtlGutter w:val="0"/>
          <w:docGrid w:type="lines" w:linePitch="312" w:charSpace="0"/>
        </w:sectPr>
      </w:pPr>
      <w:r>
        <w:rPr>
          <w:rFonts w:hint="eastAsia"/>
        </w:rPr>
        <w:t>根据上述结果显示，本次满意度调查结果</w:t>
      </w:r>
      <w:r>
        <w:rPr>
          <w:rFonts w:hint="eastAsia"/>
          <w:lang w:eastAsia="zh-CN"/>
        </w:rPr>
        <w:t>为</w:t>
      </w:r>
      <w:r>
        <w:rPr>
          <w:rFonts w:hint="eastAsia"/>
          <w:lang w:val="en-US" w:eastAsia="zh-CN"/>
        </w:rPr>
        <w:t>95</w:t>
      </w:r>
      <w:r>
        <w:rPr>
          <w:rFonts w:hint="eastAsia"/>
        </w:rPr>
        <w:t>%</w:t>
      </w:r>
      <w:r>
        <w:rPr>
          <w:rFonts w:hint="eastAsia"/>
          <w:lang w:eastAsia="zh-CN"/>
        </w:rPr>
        <w:t>。</w:t>
      </w:r>
    </w:p>
    <w:p w14:paraId="310C4424">
      <w:pPr>
        <w:pStyle w:val="6"/>
        <w:bidi w:val="0"/>
        <w:ind w:left="0" w:leftChars="0" w:firstLine="0" w:firstLineChars="0"/>
        <w:rPr>
          <w:rFonts w:hint="default"/>
          <w:lang w:val="en-US" w:eastAsia="zh-CN"/>
        </w:rPr>
        <w:sectPr>
          <w:pgSz w:w="16838" w:h="11906" w:orient="landscape"/>
          <w:pgMar w:top="1800" w:right="1440" w:bottom="1800" w:left="1440" w:header="851" w:footer="992" w:gutter="0"/>
          <w:pgNumType w:fmt="numberInDash"/>
          <w:cols w:space="720" w:num="1"/>
          <w:docGrid w:type="lines" w:linePitch="312" w:charSpace="0"/>
        </w:sectPr>
      </w:pPr>
      <w:bookmarkStart w:id="516" w:name="_Toc30161"/>
      <w:bookmarkStart w:id="517" w:name="_Toc10033"/>
      <w:r>
        <w:rPr>
          <w:rFonts w:hint="default"/>
          <w:lang w:val="en-US" w:eastAsia="zh-CN"/>
        </w:rPr>
        <w:drawing>
          <wp:anchor distT="0" distB="0" distL="114300" distR="114300" simplePos="0" relativeHeight="251659264" behindDoc="0" locked="0" layoutInCell="1" allowOverlap="1">
            <wp:simplePos x="0" y="0"/>
            <wp:positionH relativeFrom="column">
              <wp:posOffset>41910</wp:posOffset>
            </wp:positionH>
            <wp:positionV relativeFrom="paragraph">
              <wp:posOffset>497205</wp:posOffset>
            </wp:positionV>
            <wp:extent cx="8851265" cy="4979035"/>
            <wp:effectExtent l="0" t="0" r="6985" b="12065"/>
            <wp:wrapNone/>
            <wp:docPr id="3" name="图片 3" descr="ba6889fd776a3e7851309040bff4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a6889fd776a3e7851309040bff43405"/>
                    <pic:cNvPicPr>
                      <a:picLocks noChangeAspect="1"/>
                    </pic:cNvPicPr>
                  </pic:nvPicPr>
                  <pic:blipFill>
                    <a:blip r:embed="rId16"/>
                    <a:stretch>
                      <a:fillRect/>
                    </a:stretch>
                  </pic:blipFill>
                  <pic:spPr>
                    <a:xfrm>
                      <a:off x="0" y="0"/>
                      <a:ext cx="8851265" cy="4979035"/>
                    </a:xfrm>
                    <a:prstGeom prst="rect">
                      <a:avLst/>
                    </a:prstGeom>
                  </pic:spPr>
                </pic:pic>
              </a:graphicData>
            </a:graphic>
          </wp:anchor>
        </w:drawing>
      </w:r>
      <w:r>
        <w:rPr>
          <w:rFonts w:hint="default"/>
          <w:lang w:val="en-US" w:eastAsia="zh-CN"/>
        </w:rPr>
        <w:t>附件7：工作记录图片</w:t>
      </w:r>
      <w:bookmarkEnd w:id="516"/>
      <w:bookmarkEnd w:id="517"/>
    </w:p>
    <w:p w14:paraId="0256F5C3">
      <w:pPr>
        <w:pStyle w:val="7"/>
        <w:outlineLvl w:val="9"/>
        <w:rPr>
          <w:rFonts w:hint="default"/>
          <w:color w:val="auto"/>
          <w:lang w:val="en-US" w:eastAsia="zh-CN"/>
        </w:rPr>
        <w:sectPr>
          <w:pgSz w:w="16838" w:h="11906" w:orient="landscape"/>
          <w:pgMar w:top="1800" w:right="1440" w:bottom="1800" w:left="1440" w:header="851" w:footer="992" w:gutter="0"/>
          <w:pgNumType w:fmt="numberInDash"/>
          <w:cols w:space="720" w:num="1"/>
          <w:docGrid w:type="lines" w:linePitch="312" w:charSpace="0"/>
        </w:sectPr>
      </w:pPr>
      <w:r>
        <w:rPr>
          <w:rFonts w:hint="default"/>
          <w:color w:val="auto"/>
          <w:lang w:val="en-US" w:eastAsia="zh-CN"/>
        </w:rPr>
        <w:drawing>
          <wp:anchor distT="0" distB="0" distL="114300" distR="114300" simplePos="0" relativeHeight="251660288" behindDoc="0" locked="0" layoutInCell="1" allowOverlap="1">
            <wp:simplePos x="0" y="0"/>
            <wp:positionH relativeFrom="column">
              <wp:posOffset>407035</wp:posOffset>
            </wp:positionH>
            <wp:positionV relativeFrom="paragraph">
              <wp:posOffset>-229235</wp:posOffset>
            </wp:positionV>
            <wp:extent cx="7672070" cy="5753735"/>
            <wp:effectExtent l="0" t="0" r="5080" b="18415"/>
            <wp:wrapNone/>
            <wp:docPr id="5" name="图片 5" descr="9327627ab39071049d083263f3bc7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327627ab39071049d083263f3bc7c29"/>
                    <pic:cNvPicPr>
                      <a:picLocks noChangeAspect="1"/>
                    </pic:cNvPicPr>
                  </pic:nvPicPr>
                  <pic:blipFill>
                    <a:blip r:embed="rId17"/>
                    <a:stretch>
                      <a:fillRect/>
                    </a:stretch>
                  </pic:blipFill>
                  <pic:spPr>
                    <a:xfrm>
                      <a:off x="0" y="0"/>
                      <a:ext cx="7672070" cy="5753735"/>
                    </a:xfrm>
                    <a:prstGeom prst="rect">
                      <a:avLst/>
                    </a:prstGeom>
                  </pic:spPr>
                </pic:pic>
              </a:graphicData>
            </a:graphic>
          </wp:anchor>
        </w:drawing>
      </w:r>
    </w:p>
    <w:p w14:paraId="78AEBD53">
      <w:pPr>
        <w:pStyle w:val="7"/>
        <w:outlineLvl w:val="9"/>
        <w:rPr>
          <w:rFonts w:hint="default"/>
          <w:color w:val="auto"/>
          <w:lang w:val="en-US" w:eastAsia="zh-CN"/>
        </w:rPr>
        <w:sectPr>
          <w:pgSz w:w="16838" w:h="11906" w:orient="landscape"/>
          <w:pgMar w:top="1800" w:right="1440" w:bottom="1800" w:left="1440" w:header="851" w:footer="992" w:gutter="0"/>
          <w:pgNumType w:fmt="numberInDash"/>
          <w:cols w:space="720" w:num="1"/>
          <w:docGrid w:type="lines" w:linePitch="312" w:charSpace="0"/>
        </w:sectPr>
      </w:pPr>
      <w:r>
        <w:rPr>
          <w:rFonts w:hint="default"/>
          <w:color w:val="auto"/>
          <w:lang w:val="en-US" w:eastAsia="zh-CN"/>
        </w:rPr>
        <w:drawing>
          <wp:anchor distT="0" distB="0" distL="114300" distR="114300" simplePos="0" relativeHeight="251661312" behindDoc="0" locked="0" layoutInCell="1" allowOverlap="1">
            <wp:simplePos x="0" y="0"/>
            <wp:positionH relativeFrom="column">
              <wp:posOffset>777875</wp:posOffset>
            </wp:positionH>
            <wp:positionV relativeFrom="paragraph">
              <wp:posOffset>81915</wp:posOffset>
            </wp:positionV>
            <wp:extent cx="7019925" cy="5262880"/>
            <wp:effectExtent l="0" t="0" r="9525" b="13970"/>
            <wp:wrapNone/>
            <wp:docPr id="9" name="图片 9" descr="8688dfd6999c1b5c32746b157a5e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688dfd6999c1b5c32746b157a5e9465"/>
                    <pic:cNvPicPr>
                      <a:picLocks noChangeAspect="1"/>
                    </pic:cNvPicPr>
                  </pic:nvPicPr>
                  <pic:blipFill>
                    <a:blip r:embed="rId18"/>
                    <a:stretch>
                      <a:fillRect/>
                    </a:stretch>
                  </pic:blipFill>
                  <pic:spPr>
                    <a:xfrm>
                      <a:off x="0" y="0"/>
                      <a:ext cx="7019925" cy="5262880"/>
                    </a:xfrm>
                    <a:prstGeom prst="rect">
                      <a:avLst/>
                    </a:prstGeom>
                  </pic:spPr>
                </pic:pic>
              </a:graphicData>
            </a:graphic>
          </wp:anchor>
        </w:drawing>
      </w:r>
    </w:p>
    <w:p w14:paraId="0DF00740">
      <w:pPr>
        <w:pStyle w:val="7"/>
        <w:outlineLvl w:val="9"/>
        <w:rPr>
          <w:rFonts w:hint="default"/>
          <w:color w:val="auto"/>
          <w:lang w:val="en-US" w:eastAsia="zh-CN"/>
        </w:rPr>
      </w:pPr>
      <w:r>
        <w:rPr>
          <w:rFonts w:hint="default"/>
          <w:color w:val="auto"/>
          <w:lang w:val="en-US" w:eastAsia="zh-CN"/>
        </w:rPr>
        <w:drawing>
          <wp:anchor distT="0" distB="0" distL="114300" distR="114300" simplePos="0" relativeHeight="251662336" behindDoc="0" locked="0" layoutInCell="1" allowOverlap="1">
            <wp:simplePos x="0" y="0"/>
            <wp:positionH relativeFrom="column">
              <wp:posOffset>697865</wp:posOffset>
            </wp:positionH>
            <wp:positionV relativeFrom="paragraph">
              <wp:posOffset>-19050</wp:posOffset>
            </wp:positionV>
            <wp:extent cx="7019925" cy="5262880"/>
            <wp:effectExtent l="0" t="0" r="9525" b="13970"/>
            <wp:wrapNone/>
            <wp:docPr id="10" name="图片 10" descr="85fa19045609270f7e660404c1e030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5fa19045609270f7e660404c1e030ef"/>
                    <pic:cNvPicPr>
                      <a:picLocks noChangeAspect="1"/>
                    </pic:cNvPicPr>
                  </pic:nvPicPr>
                  <pic:blipFill>
                    <a:blip r:embed="rId19"/>
                    <a:stretch>
                      <a:fillRect/>
                    </a:stretch>
                  </pic:blipFill>
                  <pic:spPr>
                    <a:xfrm>
                      <a:off x="0" y="0"/>
                      <a:ext cx="7019925" cy="5262880"/>
                    </a:xfrm>
                    <a:prstGeom prst="rect">
                      <a:avLst/>
                    </a:prstGeom>
                  </pic:spPr>
                </pic:pic>
              </a:graphicData>
            </a:graphic>
          </wp:anchor>
        </w:drawing>
      </w:r>
    </w:p>
    <w:sectPr>
      <w:pgSz w:w="16838" w:h="11906" w:orient="landscape"/>
      <w:pgMar w:top="1800" w:right="1440" w:bottom="1800" w:left="144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AF6B">
    <w:pPr>
      <w:pStyle w:val="4"/>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9509F">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6B9509F">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0657">
    <w:pPr>
      <w:pStyle w:val="4"/>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1F369">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6D1F369">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AE33F">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E1269"/>
    <w:multiLevelType w:val="singleLevel"/>
    <w:tmpl w:val="04DE1269"/>
    <w:lvl w:ilvl="0" w:tentative="0">
      <w:start w:val="2"/>
      <w:numFmt w:val="chineseCounting"/>
      <w:suff w:val="nothing"/>
      <w:lvlText w:val="（%1）"/>
      <w:lvlJc w:val="left"/>
      <w:pPr>
        <w:ind w:left="19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ZWVhNGNiYTlmZTJiNThhNDI1MjE3NWQ2YjhlZmEifQ=="/>
  </w:docVars>
  <w:rsids>
    <w:rsidRoot w:val="2628021F"/>
    <w:rsid w:val="00430B41"/>
    <w:rsid w:val="004439F4"/>
    <w:rsid w:val="0061174E"/>
    <w:rsid w:val="006609ED"/>
    <w:rsid w:val="00893370"/>
    <w:rsid w:val="00A50240"/>
    <w:rsid w:val="00AA39C6"/>
    <w:rsid w:val="00F33C3F"/>
    <w:rsid w:val="01074796"/>
    <w:rsid w:val="015B484C"/>
    <w:rsid w:val="01F47232"/>
    <w:rsid w:val="01F93285"/>
    <w:rsid w:val="020A4075"/>
    <w:rsid w:val="0216771E"/>
    <w:rsid w:val="023E5715"/>
    <w:rsid w:val="028C56AA"/>
    <w:rsid w:val="02B725C3"/>
    <w:rsid w:val="02BE17A3"/>
    <w:rsid w:val="02D14ED9"/>
    <w:rsid w:val="02D27349"/>
    <w:rsid w:val="03195E08"/>
    <w:rsid w:val="032316DC"/>
    <w:rsid w:val="03311B0A"/>
    <w:rsid w:val="03A11A3F"/>
    <w:rsid w:val="03C51479"/>
    <w:rsid w:val="04034896"/>
    <w:rsid w:val="04102FDF"/>
    <w:rsid w:val="043975F9"/>
    <w:rsid w:val="045B0490"/>
    <w:rsid w:val="04774744"/>
    <w:rsid w:val="04946C62"/>
    <w:rsid w:val="04C030C7"/>
    <w:rsid w:val="04C368EF"/>
    <w:rsid w:val="050035D6"/>
    <w:rsid w:val="052B4D32"/>
    <w:rsid w:val="053153D6"/>
    <w:rsid w:val="053B3F4E"/>
    <w:rsid w:val="05540464"/>
    <w:rsid w:val="056B5E8B"/>
    <w:rsid w:val="058B444B"/>
    <w:rsid w:val="05944DBA"/>
    <w:rsid w:val="05C16FB0"/>
    <w:rsid w:val="05EA7A61"/>
    <w:rsid w:val="064B4284"/>
    <w:rsid w:val="0674352F"/>
    <w:rsid w:val="069A7EFB"/>
    <w:rsid w:val="06AA3B04"/>
    <w:rsid w:val="06D71C2E"/>
    <w:rsid w:val="071A504A"/>
    <w:rsid w:val="07250364"/>
    <w:rsid w:val="073F091F"/>
    <w:rsid w:val="075627CE"/>
    <w:rsid w:val="07704AAF"/>
    <w:rsid w:val="07846CA5"/>
    <w:rsid w:val="0790350F"/>
    <w:rsid w:val="07A648FF"/>
    <w:rsid w:val="07D12EC3"/>
    <w:rsid w:val="080345C8"/>
    <w:rsid w:val="08054732"/>
    <w:rsid w:val="08202AE5"/>
    <w:rsid w:val="08320C65"/>
    <w:rsid w:val="08437B95"/>
    <w:rsid w:val="08503D96"/>
    <w:rsid w:val="08A3592E"/>
    <w:rsid w:val="08A542EA"/>
    <w:rsid w:val="08A77C04"/>
    <w:rsid w:val="08FD6790"/>
    <w:rsid w:val="09354115"/>
    <w:rsid w:val="0974296B"/>
    <w:rsid w:val="09807144"/>
    <w:rsid w:val="09A232E3"/>
    <w:rsid w:val="09A56507"/>
    <w:rsid w:val="09B84532"/>
    <w:rsid w:val="09C62192"/>
    <w:rsid w:val="0A140428"/>
    <w:rsid w:val="0A1A0B9C"/>
    <w:rsid w:val="0A2F211D"/>
    <w:rsid w:val="0A4514BF"/>
    <w:rsid w:val="0A7126CE"/>
    <w:rsid w:val="0A8E36E9"/>
    <w:rsid w:val="0AA35976"/>
    <w:rsid w:val="0AA60FEF"/>
    <w:rsid w:val="0AAA6066"/>
    <w:rsid w:val="0AAC26B5"/>
    <w:rsid w:val="0ADD1315"/>
    <w:rsid w:val="0AE94995"/>
    <w:rsid w:val="0B10482F"/>
    <w:rsid w:val="0B237C8E"/>
    <w:rsid w:val="0B3D03A4"/>
    <w:rsid w:val="0B5735A2"/>
    <w:rsid w:val="0B694BA0"/>
    <w:rsid w:val="0B6B4678"/>
    <w:rsid w:val="0BB36E21"/>
    <w:rsid w:val="0BBF09A9"/>
    <w:rsid w:val="0BC10DCF"/>
    <w:rsid w:val="0BC61944"/>
    <w:rsid w:val="0BCE57D5"/>
    <w:rsid w:val="0BEE0384"/>
    <w:rsid w:val="0C450F29"/>
    <w:rsid w:val="0C514E2E"/>
    <w:rsid w:val="0D08396D"/>
    <w:rsid w:val="0D477A27"/>
    <w:rsid w:val="0D5C009A"/>
    <w:rsid w:val="0D8C3A33"/>
    <w:rsid w:val="0D9E365C"/>
    <w:rsid w:val="0DB74B16"/>
    <w:rsid w:val="0E32698F"/>
    <w:rsid w:val="0E52799C"/>
    <w:rsid w:val="0E5341C8"/>
    <w:rsid w:val="0E550377"/>
    <w:rsid w:val="0E56100F"/>
    <w:rsid w:val="0F265DEF"/>
    <w:rsid w:val="0F5A6FD1"/>
    <w:rsid w:val="0F5E5083"/>
    <w:rsid w:val="0F634510"/>
    <w:rsid w:val="0FA06279"/>
    <w:rsid w:val="0FCA5276"/>
    <w:rsid w:val="0FE24409"/>
    <w:rsid w:val="0FF1478D"/>
    <w:rsid w:val="0FF80511"/>
    <w:rsid w:val="1002694A"/>
    <w:rsid w:val="105B72B5"/>
    <w:rsid w:val="106C6BD2"/>
    <w:rsid w:val="10DB11DF"/>
    <w:rsid w:val="112A2112"/>
    <w:rsid w:val="11492A18"/>
    <w:rsid w:val="119A0111"/>
    <w:rsid w:val="11CB2DB3"/>
    <w:rsid w:val="11DF30C9"/>
    <w:rsid w:val="11FE3E04"/>
    <w:rsid w:val="120D166A"/>
    <w:rsid w:val="122863AF"/>
    <w:rsid w:val="127A5D57"/>
    <w:rsid w:val="12B870D5"/>
    <w:rsid w:val="12BA43C3"/>
    <w:rsid w:val="12D7219D"/>
    <w:rsid w:val="12FB5584"/>
    <w:rsid w:val="13085702"/>
    <w:rsid w:val="13150D6A"/>
    <w:rsid w:val="133346ED"/>
    <w:rsid w:val="135B743E"/>
    <w:rsid w:val="13963C5C"/>
    <w:rsid w:val="13D16DF1"/>
    <w:rsid w:val="14176209"/>
    <w:rsid w:val="142909B5"/>
    <w:rsid w:val="14601D53"/>
    <w:rsid w:val="14612515"/>
    <w:rsid w:val="14990975"/>
    <w:rsid w:val="14AF4F4C"/>
    <w:rsid w:val="150C2C5E"/>
    <w:rsid w:val="150D1A49"/>
    <w:rsid w:val="1520327D"/>
    <w:rsid w:val="15211C4B"/>
    <w:rsid w:val="155B197F"/>
    <w:rsid w:val="15760C31"/>
    <w:rsid w:val="1589637C"/>
    <w:rsid w:val="158C2B57"/>
    <w:rsid w:val="15907AFC"/>
    <w:rsid w:val="15BE4FB7"/>
    <w:rsid w:val="164A7C99"/>
    <w:rsid w:val="165826DC"/>
    <w:rsid w:val="165A7415"/>
    <w:rsid w:val="168B62A6"/>
    <w:rsid w:val="168C78AB"/>
    <w:rsid w:val="16932F24"/>
    <w:rsid w:val="16CD6670"/>
    <w:rsid w:val="170646AE"/>
    <w:rsid w:val="1707367D"/>
    <w:rsid w:val="17367C40"/>
    <w:rsid w:val="1741402F"/>
    <w:rsid w:val="176D0A4A"/>
    <w:rsid w:val="17DB755E"/>
    <w:rsid w:val="1877239B"/>
    <w:rsid w:val="187834EB"/>
    <w:rsid w:val="189F600B"/>
    <w:rsid w:val="18DA6024"/>
    <w:rsid w:val="18DE2275"/>
    <w:rsid w:val="198E3DC1"/>
    <w:rsid w:val="19B900E0"/>
    <w:rsid w:val="19BA4761"/>
    <w:rsid w:val="19CB70D4"/>
    <w:rsid w:val="19F26D39"/>
    <w:rsid w:val="19F60E53"/>
    <w:rsid w:val="1A261BE2"/>
    <w:rsid w:val="1A494819"/>
    <w:rsid w:val="1A7840BB"/>
    <w:rsid w:val="1A966293"/>
    <w:rsid w:val="1AE4030D"/>
    <w:rsid w:val="1B0C4E83"/>
    <w:rsid w:val="1B51597B"/>
    <w:rsid w:val="1B5C73AC"/>
    <w:rsid w:val="1B717A65"/>
    <w:rsid w:val="1B915AD3"/>
    <w:rsid w:val="1BAD248A"/>
    <w:rsid w:val="1C0E117B"/>
    <w:rsid w:val="1C4A62D9"/>
    <w:rsid w:val="1C4E7646"/>
    <w:rsid w:val="1C9A6310"/>
    <w:rsid w:val="1CD14E5E"/>
    <w:rsid w:val="1CFC67B9"/>
    <w:rsid w:val="1D05521F"/>
    <w:rsid w:val="1D09444D"/>
    <w:rsid w:val="1D27086D"/>
    <w:rsid w:val="1D48246B"/>
    <w:rsid w:val="1D672872"/>
    <w:rsid w:val="1D8428F3"/>
    <w:rsid w:val="1DA31BC1"/>
    <w:rsid w:val="1DAB7EA6"/>
    <w:rsid w:val="1DBC6B4D"/>
    <w:rsid w:val="1DDD5320"/>
    <w:rsid w:val="1DF55003"/>
    <w:rsid w:val="1DFD6602"/>
    <w:rsid w:val="1E533711"/>
    <w:rsid w:val="1E566E09"/>
    <w:rsid w:val="1E850C8B"/>
    <w:rsid w:val="1EF81F94"/>
    <w:rsid w:val="1F261536"/>
    <w:rsid w:val="1F8504F5"/>
    <w:rsid w:val="1F8737CC"/>
    <w:rsid w:val="1FA42FED"/>
    <w:rsid w:val="1FAD6E73"/>
    <w:rsid w:val="1FB27C67"/>
    <w:rsid w:val="20351648"/>
    <w:rsid w:val="203C7BB3"/>
    <w:rsid w:val="203D6234"/>
    <w:rsid w:val="206D07EA"/>
    <w:rsid w:val="208E27DD"/>
    <w:rsid w:val="20A21903"/>
    <w:rsid w:val="20A66711"/>
    <w:rsid w:val="20AE2EE3"/>
    <w:rsid w:val="20FA07DA"/>
    <w:rsid w:val="21070AF5"/>
    <w:rsid w:val="212F5C9D"/>
    <w:rsid w:val="2149569B"/>
    <w:rsid w:val="218A327B"/>
    <w:rsid w:val="219366B8"/>
    <w:rsid w:val="21A2603F"/>
    <w:rsid w:val="21CC3390"/>
    <w:rsid w:val="220D58FB"/>
    <w:rsid w:val="22337001"/>
    <w:rsid w:val="225D5C43"/>
    <w:rsid w:val="226A377E"/>
    <w:rsid w:val="22963E3F"/>
    <w:rsid w:val="229654CA"/>
    <w:rsid w:val="22E17041"/>
    <w:rsid w:val="22FB5E43"/>
    <w:rsid w:val="231554FC"/>
    <w:rsid w:val="23453447"/>
    <w:rsid w:val="23565A1B"/>
    <w:rsid w:val="235722AF"/>
    <w:rsid w:val="23941E0C"/>
    <w:rsid w:val="23AF5E3E"/>
    <w:rsid w:val="23D90E5E"/>
    <w:rsid w:val="23DC0152"/>
    <w:rsid w:val="240A4C20"/>
    <w:rsid w:val="240B3EE3"/>
    <w:rsid w:val="24213A15"/>
    <w:rsid w:val="242722B1"/>
    <w:rsid w:val="24276EE7"/>
    <w:rsid w:val="247A40DF"/>
    <w:rsid w:val="24894FA7"/>
    <w:rsid w:val="24D43819"/>
    <w:rsid w:val="25032AB1"/>
    <w:rsid w:val="250F1BAE"/>
    <w:rsid w:val="259405AB"/>
    <w:rsid w:val="25AD48AA"/>
    <w:rsid w:val="25BF23A7"/>
    <w:rsid w:val="25E54FCB"/>
    <w:rsid w:val="25EA5D23"/>
    <w:rsid w:val="25F13737"/>
    <w:rsid w:val="26160A06"/>
    <w:rsid w:val="261E15D2"/>
    <w:rsid w:val="2628021F"/>
    <w:rsid w:val="262C5A2D"/>
    <w:rsid w:val="26305539"/>
    <w:rsid w:val="263C56CF"/>
    <w:rsid w:val="266B5CAB"/>
    <w:rsid w:val="266D3496"/>
    <w:rsid w:val="2676445C"/>
    <w:rsid w:val="26A715C5"/>
    <w:rsid w:val="26C20219"/>
    <w:rsid w:val="26D93E63"/>
    <w:rsid w:val="26DC459C"/>
    <w:rsid w:val="26E97A86"/>
    <w:rsid w:val="26ED4C82"/>
    <w:rsid w:val="275C5FA0"/>
    <w:rsid w:val="275D64BB"/>
    <w:rsid w:val="2768027B"/>
    <w:rsid w:val="276C144B"/>
    <w:rsid w:val="278D6CE8"/>
    <w:rsid w:val="27B12BCD"/>
    <w:rsid w:val="27BB57C5"/>
    <w:rsid w:val="27C148A5"/>
    <w:rsid w:val="27ED7549"/>
    <w:rsid w:val="28006ED9"/>
    <w:rsid w:val="280C22C4"/>
    <w:rsid w:val="281B0CD1"/>
    <w:rsid w:val="287F0C27"/>
    <w:rsid w:val="289515D0"/>
    <w:rsid w:val="28B40891"/>
    <w:rsid w:val="28D44F20"/>
    <w:rsid w:val="291C70AC"/>
    <w:rsid w:val="296236AF"/>
    <w:rsid w:val="297B5854"/>
    <w:rsid w:val="29823A91"/>
    <w:rsid w:val="29B216F6"/>
    <w:rsid w:val="29E777B5"/>
    <w:rsid w:val="29FA2B34"/>
    <w:rsid w:val="2A1B533C"/>
    <w:rsid w:val="2A2D6AB9"/>
    <w:rsid w:val="2A777029"/>
    <w:rsid w:val="2AD00196"/>
    <w:rsid w:val="2B000675"/>
    <w:rsid w:val="2B665CCA"/>
    <w:rsid w:val="2B822FA6"/>
    <w:rsid w:val="2B8B4DA5"/>
    <w:rsid w:val="2B981428"/>
    <w:rsid w:val="2BD05FF5"/>
    <w:rsid w:val="2BD2171A"/>
    <w:rsid w:val="2BEF0D55"/>
    <w:rsid w:val="2C0F6841"/>
    <w:rsid w:val="2C61709E"/>
    <w:rsid w:val="2C8B4328"/>
    <w:rsid w:val="2C8C4B18"/>
    <w:rsid w:val="2C9D45DF"/>
    <w:rsid w:val="2CC81D40"/>
    <w:rsid w:val="2CDE50BB"/>
    <w:rsid w:val="2CE34607"/>
    <w:rsid w:val="2D405D1C"/>
    <w:rsid w:val="2D7F3D95"/>
    <w:rsid w:val="2D932117"/>
    <w:rsid w:val="2D9A3B73"/>
    <w:rsid w:val="2DAF3EC6"/>
    <w:rsid w:val="2E0A6052"/>
    <w:rsid w:val="2E4059D2"/>
    <w:rsid w:val="2E893CCC"/>
    <w:rsid w:val="2E8A5CB8"/>
    <w:rsid w:val="2ED20759"/>
    <w:rsid w:val="2EDB7EB3"/>
    <w:rsid w:val="2F9E3C0C"/>
    <w:rsid w:val="2FFD4CF8"/>
    <w:rsid w:val="301B6521"/>
    <w:rsid w:val="30223E1E"/>
    <w:rsid w:val="30247685"/>
    <w:rsid w:val="30335CB1"/>
    <w:rsid w:val="3033636C"/>
    <w:rsid w:val="303F257F"/>
    <w:rsid w:val="30596778"/>
    <w:rsid w:val="30653101"/>
    <w:rsid w:val="30A85880"/>
    <w:rsid w:val="30CF615A"/>
    <w:rsid w:val="30EC379B"/>
    <w:rsid w:val="31117A5D"/>
    <w:rsid w:val="311F2F18"/>
    <w:rsid w:val="31692558"/>
    <w:rsid w:val="31AB05E5"/>
    <w:rsid w:val="31EA3509"/>
    <w:rsid w:val="32057C83"/>
    <w:rsid w:val="327B3A37"/>
    <w:rsid w:val="332D5984"/>
    <w:rsid w:val="334705C2"/>
    <w:rsid w:val="33A61EC6"/>
    <w:rsid w:val="33BD4803"/>
    <w:rsid w:val="33E1182F"/>
    <w:rsid w:val="3407188E"/>
    <w:rsid w:val="34623E40"/>
    <w:rsid w:val="347566E5"/>
    <w:rsid w:val="34866274"/>
    <w:rsid w:val="348775F9"/>
    <w:rsid w:val="349F7E72"/>
    <w:rsid w:val="34BD6F8B"/>
    <w:rsid w:val="34CC10FE"/>
    <w:rsid w:val="34D5653D"/>
    <w:rsid w:val="34FC7B76"/>
    <w:rsid w:val="350E221C"/>
    <w:rsid w:val="35293D8E"/>
    <w:rsid w:val="35323A95"/>
    <w:rsid w:val="357A7F8E"/>
    <w:rsid w:val="35913409"/>
    <w:rsid w:val="35C374FE"/>
    <w:rsid w:val="35F95029"/>
    <w:rsid w:val="35FE4E42"/>
    <w:rsid w:val="362D1EF0"/>
    <w:rsid w:val="363F753B"/>
    <w:rsid w:val="364370ED"/>
    <w:rsid w:val="36E735A3"/>
    <w:rsid w:val="370421C1"/>
    <w:rsid w:val="370A4904"/>
    <w:rsid w:val="373A6791"/>
    <w:rsid w:val="37444B4C"/>
    <w:rsid w:val="3768578B"/>
    <w:rsid w:val="37713B49"/>
    <w:rsid w:val="37A85D29"/>
    <w:rsid w:val="37BF0FAF"/>
    <w:rsid w:val="37FD1CF0"/>
    <w:rsid w:val="38465D79"/>
    <w:rsid w:val="385D3564"/>
    <w:rsid w:val="38671AF4"/>
    <w:rsid w:val="38846F97"/>
    <w:rsid w:val="38885109"/>
    <w:rsid w:val="38E01833"/>
    <w:rsid w:val="394A1FAC"/>
    <w:rsid w:val="398C2A28"/>
    <w:rsid w:val="39A37851"/>
    <w:rsid w:val="39AF3D58"/>
    <w:rsid w:val="39C17EE2"/>
    <w:rsid w:val="3A126F41"/>
    <w:rsid w:val="3A351831"/>
    <w:rsid w:val="3A464A7C"/>
    <w:rsid w:val="3A6A19D0"/>
    <w:rsid w:val="3A815BEE"/>
    <w:rsid w:val="3A816FB3"/>
    <w:rsid w:val="3AB8317A"/>
    <w:rsid w:val="3ABA5F55"/>
    <w:rsid w:val="3B2829CF"/>
    <w:rsid w:val="3B2C6F19"/>
    <w:rsid w:val="3B807366"/>
    <w:rsid w:val="3BEA1D3F"/>
    <w:rsid w:val="3BF06839"/>
    <w:rsid w:val="3C365500"/>
    <w:rsid w:val="3C463849"/>
    <w:rsid w:val="3C4C258A"/>
    <w:rsid w:val="3C720345"/>
    <w:rsid w:val="3C7468DD"/>
    <w:rsid w:val="3C7B418C"/>
    <w:rsid w:val="3C9321C2"/>
    <w:rsid w:val="3C9C7CC2"/>
    <w:rsid w:val="3CDC4A97"/>
    <w:rsid w:val="3CFF1079"/>
    <w:rsid w:val="3D293778"/>
    <w:rsid w:val="3D5E633C"/>
    <w:rsid w:val="3D7E1000"/>
    <w:rsid w:val="3D8862F9"/>
    <w:rsid w:val="3DA31014"/>
    <w:rsid w:val="3DAF1779"/>
    <w:rsid w:val="3DAF5D74"/>
    <w:rsid w:val="3DF46889"/>
    <w:rsid w:val="3DF75E51"/>
    <w:rsid w:val="3E464127"/>
    <w:rsid w:val="3E532B56"/>
    <w:rsid w:val="3E544B66"/>
    <w:rsid w:val="3E7004D9"/>
    <w:rsid w:val="3E98227C"/>
    <w:rsid w:val="3EC11C25"/>
    <w:rsid w:val="3EC51A02"/>
    <w:rsid w:val="3ECD4126"/>
    <w:rsid w:val="3F5F7389"/>
    <w:rsid w:val="401959D6"/>
    <w:rsid w:val="40311165"/>
    <w:rsid w:val="406A3831"/>
    <w:rsid w:val="406D237C"/>
    <w:rsid w:val="40820D21"/>
    <w:rsid w:val="40945C09"/>
    <w:rsid w:val="40B10206"/>
    <w:rsid w:val="40FB4CEF"/>
    <w:rsid w:val="411927B9"/>
    <w:rsid w:val="414B2734"/>
    <w:rsid w:val="416074D3"/>
    <w:rsid w:val="41624CF7"/>
    <w:rsid w:val="41BC1732"/>
    <w:rsid w:val="41CA27E8"/>
    <w:rsid w:val="41D4085F"/>
    <w:rsid w:val="420D6D5B"/>
    <w:rsid w:val="42154E32"/>
    <w:rsid w:val="423350D1"/>
    <w:rsid w:val="423D0A39"/>
    <w:rsid w:val="42457866"/>
    <w:rsid w:val="427575FB"/>
    <w:rsid w:val="427D3F21"/>
    <w:rsid w:val="42A634FD"/>
    <w:rsid w:val="42B7354B"/>
    <w:rsid w:val="42D702A4"/>
    <w:rsid w:val="42E44C7C"/>
    <w:rsid w:val="42F054E3"/>
    <w:rsid w:val="43205EF4"/>
    <w:rsid w:val="43214B69"/>
    <w:rsid w:val="432A7FB3"/>
    <w:rsid w:val="43627942"/>
    <w:rsid w:val="43823D3A"/>
    <w:rsid w:val="438D6F33"/>
    <w:rsid w:val="43C527B0"/>
    <w:rsid w:val="44127F74"/>
    <w:rsid w:val="445155AC"/>
    <w:rsid w:val="4454199A"/>
    <w:rsid w:val="447D1C98"/>
    <w:rsid w:val="44823CAD"/>
    <w:rsid w:val="44BD6C1D"/>
    <w:rsid w:val="451A110B"/>
    <w:rsid w:val="45491EC7"/>
    <w:rsid w:val="45833790"/>
    <w:rsid w:val="459020F1"/>
    <w:rsid w:val="461A688B"/>
    <w:rsid w:val="46420B50"/>
    <w:rsid w:val="465C7DDA"/>
    <w:rsid w:val="466243CB"/>
    <w:rsid w:val="467F22B3"/>
    <w:rsid w:val="468A0D25"/>
    <w:rsid w:val="46CB65D1"/>
    <w:rsid w:val="471B5726"/>
    <w:rsid w:val="47667AD5"/>
    <w:rsid w:val="4789737B"/>
    <w:rsid w:val="479101E6"/>
    <w:rsid w:val="47967AB7"/>
    <w:rsid w:val="47BB33BC"/>
    <w:rsid w:val="484216E1"/>
    <w:rsid w:val="484F3AB3"/>
    <w:rsid w:val="48B62722"/>
    <w:rsid w:val="48C200C0"/>
    <w:rsid w:val="48C87C97"/>
    <w:rsid w:val="48F77D4F"/>
    <w:rsid w:val="48FD0612"/>
    <w:rsid w:val="49153799"/>
    <w:rsid w:val="49217800"/>
    <w:rsid w:val="49665917"/>
    <w:rsid w:val="4988039C"/>
    <w:rsid w:val="49A10651"/>
    <w:rsid w:val="49D81B5C"/>
    <w:rsid w:val="4A1B506E"/>
    <w:rsid w:val="4A592EB9"/>
    <w:rsid w:val="4A9728A4"/>
    <w:rsid w:val="4AC86F7C"/>
    <w:rsid w:val="4ACE1516"/>
    <w:rsid w:val="4AE637A8"/>
    <w:rsid w:val="4AFB68D2"/>
    <w:rsid w:val="4B2064B0"/>
    <w:rsid w:val="4B615E6C"/>
    <w:rsid w:val="4BD5286C"/>
    <w:rsid w:val="4BE54907"/>
    <w:rsid w:val="4BEA1C15"/>
    <w:rsid w:val="4BF5415A"/>
    <w:rsid w:val="4C3A1CFF"/>
    <w:rsid w:val="4C575F54"/>
    <w:rsid w:val="4C5801DA"/>
    <w:rsid w:val="4C975D73"/>
    <w:rsid w:val="4CAD4FF8"/>
    <w:rsid w:val="4CD264C8"/>
    <w:rsid w:val="4D003DBE"/>
    <w:rsid w:val="4D3C1BA8"/>
    <w:rsid w:val="4D571549"/>
    <w:rsid w:val="4D6D5EE9"/>
    <w:rsid w:val="4D9B65DC"/>
    <w:rsid w:val="4D9C1B7F"/>
    <w:rsid w:val="4DA9413D"/>
    <w:rsid w:val="4DBD4AD1"/>
    <w:rsid w:val="4DFA3EDF"/>
    <w:rsid w:val="4E06111D"/>
    <w:rsid w:val="4E4A0F9E"/>
    <w:rsid w:val="4E4C34D8"/>
    <w:rsid w:val="4EBD450D"/>
    <w:rsid w:val="4EF84412"/>
    <w:rsid w:val="4F201DB8"/>
    <w:rsid w:val="4F2B3CBF"/>
    <w:rsid w:val="4F7F1400"/>
    <w:rsid w:val="4F8D6136"/>
    <w:rsid w:val="4FB5368D"/>
    <w:rsid w:val="4FBD4BAA"/>
    <w:rsid w:val="4FC81AFD"/>
    <w:rsid w:val="4FF26FB6"/>
    <w:rsid w:val="50264C93"/>
    <w:rsid w:val="504E4F4C"/>
    <w:rsid w:val="508B6C5A"/>
    <w:rsid w:val="5099626F"/>
    <w:rsid w:val="50D7282E"/>
    <w:rsid w:val="51105D60"/>
    <w:rsid w:val="51322E50"/>
    <w:rsid w:val="516F3479"/>
    <w:rsid w:val="51B67B17"/>
    <w:rsid w:val="51D07D5D"/>
    <w:rsid w:val="52070E0C"/>
    <w:rsid w:val="5221340A"/>
    <w:rsid w:val="522B66E5"/>
    <w:rsid w:val="522D631E"/>
    <w:rsid w:val="52391918"/>
    <w:rsid w:val="526862D8"/>
    <w:rsid w:val="52877436"/>
    <w:rsid w:val="528C71D3"/>
    <w:rsid w:val="52AD7E6D"/>
    <w:rsid w:val="52E12941"/>
    <w:rsid w:val="53080298"/>
    <w:rsid w:val="53271444"/>
    <w:rsid w:val="53622C09"/>
    <w:rsid w:val="53D53105"/>
    <w:rsid w:val="53E37769"/>
    <w:rsid w:val="547B0177"/>
    <w:rsid w:val="54A673F2"/>
    <w:rsid w:val="54BB1AC7"/>
    <w:rsid w:val="54C77513"/>
    <w:rsid w:val="54CA67D3"/>
    <w:rsid w:val="54D07299"/>
    <w:rsid w:val="54F813E8"/>
    <w:rsid w:val="55003FC5"/>
    <w:rsid w:val="55662FC9"/>
    <w:rsid w:val="556E4CA3"/>
    <w:rsid w:val="559641A4"/>
    <w:rsid w:val="55CE1553"/>
    <w:rsid w:val="55DC2A92"/>
    <w:rsid w:val="564B026A"/>
    <w:rsid w:val="56862D33"/>
    <w:rsid w:val="56A61B09"/>
    <w:rsid w:val="56B06A17"/>
    <w:rsid w:val="56C302EE"/>
    <w:rsid w:val="56E04F89"/>
    <w:rsid w:val="56EE428E"/>
    <w:rsid w:val="56FA762A"/>
    <w:rsid w:val="574D09F8"/>
    <w:rsid w:val="57742BD7"/>
    <w:rsid w:val="584D01F0"/>
    <w:rsid w:val="587D708F"/>
    <w:rsid w:val="593140B6"/>
    <w:rsid w:val="59AB14DB"/>
    <w:rsid w:val="59BE1A4E"/>
    <w:rsid w:val="59CA1AC2"/>
    <w:rsid w:val="59CC3F8D"/>
    <w:rsid w:val="5A671043"/>
    <w:rsid w:val="5A9E4E55"/>
    <w:rsid w:val="5AA60639"/>
    <w:rsid w:val="5ACD343F"/>
    <w:rsid w:val="5B14581D"/>
    <w:rsid w:val="5B175303"/>
    <w:rsid w:val="5B20162F"/>
    <w:rsid w:val="5B377A3A"/>
    <w:rsid w:val="5B8538BE"/>
    <w:rsid w:val="5BDF0E83"/>
    <w:rsid w:val="5BFE7BBD"/>
    <w:rsid w:val="5C1F1D3F"/>
    <w:rsid w:val="5CAA62EA"/>
    <w:rsid w:val="5CBA1081"/>
    <w:rsid w:val="5CE0416A"/>
    <w:rsid w:val="5D043CF6"/>
    <w:rsid w:val="5D0B39B4"/>
    <w:rsid w:val="5D23334D"/>
    <w:rsid w:val="5D283BE6"/>
    <w:rsid w:val="5D2A5C59"/>
    <w:rsid w:val="5D770F0C"/>
    <w:rsid w:val="5DA541B8"/>
    <w:rsid w:val="5DF14532"/>
    <w:rsid w:val="5DF254FF"/>
    <w:rsid w:val="5E2B7874"/>
    <w:rsid w:val="5E3C0320"/>
    <w:rsid w:val="5ED82947"/>
    <w:rsid w:val="5EE66E12"/>
    <w:rsid w:val="5F5A3AB6"/>
    <w:rsid w:val="5F874D0B"/>
    <w:rsid w:val="5F8D7557"/>
    <w:rsid w:val="5F900C00"/>
    <w:rsid w:val="5F953F38"/>
    <w:rsid w:val="5F9F0490"/>
    <w:rsid w:val="5FA835E0"/>
    <w:rsid w:val="602E6E28"/>
    <w:rsid w:val="60492360"/>
    <w:rsid w:val="60922794"/>
    <w:rsid w:val="60942EB3"/>
    <w:rsid w:val="60A26711"/>
    <w:rsid w:val="60A54AC0"/>
    <w:rsid w:val="60B35D5D"/>
    <w:rsid w:val="60B6218C"/>
    <w:rsid w:val="60EB1B12"/>
    <w:rsid w:val="60EC0FB6"/>
    <w:rsid w:val="60F433A2"/>
    <w:rsid w:val="60FC35FC"/>
    <w:rsid w:val="61000C8B"/>
    <w:rsid w:val="618D574C"/>
    <w:rsid w:val="61CB5B6F"/>
    <w:rsid w:val="61D16384"/>
    <w:rsid w:val="61EE7F19"/>
    <w:rsid w:val="6206024F"/>
    <w:rsid w:val="621013DA"/>
    <w:rsid w:val="621F4C03"/>
    <w:rsid w:val="62A84D2C"/>
    <w:rsid w:val="62AB5A91"/>
    <w:rsid w:val="62CA4253"/>
    <w:rsid w:val="62F227D9"/>
    <w:rsid w:val="62F447D9"/>
    <w:rsid w:val="63253392"/>
    <w:rsid w:val="63306AC8"/>
    <w:rsid w:val="634C12A0"/>
    <w:rsid w:val="6363094B"/>
    <w:rsid w:val="63DB1A7E"/>
    <w:rsid w:val="63E07869"/>
    <w:rsid w:val="63F35167"/>
    <w:rsid w:val="645C39D7"/>
    <w:rsid w:val="64615C38"/>
    <w:rsid w:val="64B87748"/>
    <w:rsid w:val="64CD7B29"/>
    <w:rsid w:val="64D25E68"/>
    <w:rsid w:val="64DA040E"/>
    <w:rsid w:val="64E17C46"/>
    <w:rsid w:val="64EB72E7"/>
    <w:rsid w:val="64F038A0"/>
    <w:rsid w:val="64F448D9"/>
    <w:rsid w:val="651631F9"/>
    <w:rsid w:val="65301C35"/>
    <w:rsid w:val="654D77C7"/>
    <w:rsid w:val="658D4CBC"/>
    <w:rsid w:val="65B31C20"/>
    <w:rsid w:val="65F57AC0"/>
    <w:rsid w:val="66141CFE"/>
    <w:rsid w:val="661D0FFC"/>
    <w:rsid w:val="665C646C"/>
    <w:rsid w:val="6689778C"/>
    <w:rsid w:val="66B9284F"/>
    <w:rsid w:val="66DF4F5A"/>
    <w:rsid w:val="6720549B"/>
    <w:rsid w:val="67592CBC"/>
    <w:rsid w:val="677534E1"/>
    <w:rsid w:val="67CE01B8"/>
    <w:rsid w:val="67D14E17"/>
    <w:rsid w:val="67D34E63"/>
    <w:rsid w:val="68104B29"/>
    <w:rsid w:val="68235FEA"/>
    <w:rsid w:val="684B2CD3"/>
    <w:rsid w:val="684F1F3D"/>
    <w:rsid w:val="686A24D6"/>
    <w:rsid w:val="689A0F36"/>
    <w:rsid w:val="689C3B96"/>
    <w:rsid w:val="68F413C7"/>
    <w:rsid w:val="69683DA6"/>
    <w:rsid w:val="69AA4A11"/>
    <w:rsid w:val="69B4282C"/>
    <w:rsid w:val="69BE5641"/>
    <w:rsid w:val="69D05EBE"/>
    <w:rsid w:val="69F21178"/>
    <w:rsid w:val="6A41245F"/>
    <w:rsid w:val="6AE13F5B"/>
    <w:rsid w:val="6B5E4D37"/>
    <w:rsid w:val="6B644B4D"/>
    <w:rsid w:val="6B6571C9"/>
    <w:rsid w:val="6B6B77CC"/>
    <w:rsid w:val="6B7B18CE"/>
    <w:rsid w:val="6B820C99"/>
    <w:rsid w:val="6B9B753F"/>
    <w:rsid w:val="6BA220AD"/>
    <w:rsid w:val="6BB50693"/>
    <w:rsid w:val="6BC7362F"/>
    <w:rsid w:val="6BEB59B5"/>
    <w:rsid w:val="6C1E468F"/>
    <w:rsid w:val="6D004FB6"/>
    <w:rsid w:val="6D331DAE"/>
    <w:rsid w:val="6D661703"/>
    <w:rsid w:val="6D800726"/>
    <w:rsid w:val="6DE135CF"/>
    <w:rsid w:val="6DEF1BA7"/>
    <w:rsid w:val="6E1C72AA"/>
    <w:rsid w:val="6E4373B2"/>
    <w:rsid w:val="6E5B7BB1"/>
    <w:rsid w:val="6E911621"/>
    <w:rsid w:val="6EA77C19"/>
    <w:rsid w:val="6EBF2928"/>
    <w:rsid w:val="6ECF1EA0"/>
    <w:rsid w:val="6EDC3D8E"/>
    <w:rsid w:val="6EED0F91"/>
    <w:rsid w:val="6F0B3704"/>
    <w:rsid w:val="6F0D0399"/>
    <w:rsid w:val="6F252510"/>
    <w:rsid w:val="6F291FFF"/>
    <w:rsid w:val="6F5275E4"/>
    <w:rsid w:val="6F607380"/>
    <w:rsid w:val="6FA310E6"/>
    <w:rsid w:val="6FD13916"/>
    <w:rsid w:val="6FD350D7"/>
    <w:rsid w:val="6FF13CF2"/>
    <w:rsid w:val="6FF70D70"/>
    <w:rsid w:val="70360728"/>
    <w:rsid w:val="70376B0A"/>
    <w:rsid w:val="703D7932"/>
    <w:rsid w:val="704E7617"/>
    <w:rsid w:val="70D53033"/>
    <w:rsid w:val="710A70B8"/>
    <w:rsid w:val="7124117B"/>
    <w:rsid w:val="71290D1D"/>
    <w:rsid w:val="71384CCD"/>
    <w:rsid w:val="713C7903"/>
    <w:rsid w:val="71AB6EF2"/>
    <w:rsid w:val="72003C3F"/>
    <w:rsid w:val="72114A70"/>
    <w:rsid w:val="72141382"/>
    <w:rsid w:val="7221478B"/>
    <w:rsid w:val="722F4BAE"/>
    <w:rsid w:val="726C00F1"/>
    <w:rsid w:val="726E0125"/>
    <w:rsid w:val="72C575CC"/>
    <w:rsid w:val="72F357B2"/>
    <w:rsid w:val="731316CC"/>
    <w:rsid w:val="733D6C5B"/>
    <w:rsid w:val="734359D5"/>
    <w:rsid w:val="736604B9"/>
    <w:rsid w:val="73B731AF"/>
    <w:rsid w:val="73FB78CF"/>
    <w:rsid w:val="741E2615"/>
    <w:rsid w:val="743021D2"/>
    <w:rsid w:val="74314D8F"/>
    <w:rsid w:val="746E7703"/>
    <w:rsid w:val="749219E6"/>
    <w:rsid w:val="749C4343"/>
    <w:rsid w:val="74BC2628"/>
    <w:rsid w:val="74F91D2F"/>
    <w:rsid w:val="75132032"/>
    <w:rsid w:val="7518387B"/>
    <w:rsid w:val="751D088C"/>
    <w:rsid w:val="75205BC0"/>
    <w:rsid w:val="75780425"/>
    <w:rsid w:val="75A6308C"/>
    <w:rsid w:val="75AE2400"/>
    <w:rsid w:val="75C052EE"/>
    <w:rsid w:val="75D53A99"/>
    <w:rsid w:val="75DC51B2"/>
    <w:rsid w:val="76236746"/>
    <w:rsid w:val="766F017D"/>
    <w:rsid w:val="76700EE0"/>
    <w:rsid w:val="767514C2"/>
    <w:rsid w:val="76813083"/>
    <w:rsid w:val="76891462"/>
    <w:rsid w:val="769616E7"/>
    <w:rsid w:val="76C4268E"/>
    <w:rsid w:val="76DD3D34"/>
    <w:rsid w:val="76F30FCF"/>
    <w:rsid w:val="76F820E4"/>
    <w:rsid w:val="770F6E67"/>
    <w:rsid w:val="771D4EE3"/>
    <w:rsid w:val="771E090B"/>
    <w:rsid w:val="772C33D8"/>
    <w:rsid w:val="7730562D"/>
    <w:rsid w:val="77413983"/>
    <w:rsid w:val="77623D4D"/>
    <w:rsid w:val="776571BF"/>
    <w:rsid w:val="77834F39"/>
    <w:rsid w:val="77BD6850"/>
    <w:rsid w:val="77F87366"/>
    <w:rsid w:val="781F292D"/>
    <w:rsid w:val="78491E93"/>
    <w:rsid w:val="784F3B0C"/>
    <w:rsid w:val="788B14DA"/>
    <w:rsid w:val="78D13FDA"/>
    <w:rsid w:val="78DF3D06"/>
    <w:rsid w:val="796B5334"/>
    <w:rsid w:val="79820C7A"/>
    <w:rsid w:val="79847C58"/>
    <w:rsid w:val="79A951B4"/>
    <w:rsid w:val="79B83A62"/>
    <w:rsid w:val="7A050BE6"/>
    <w:rsid w:val="7A0E3C7A"/>
    <w:rsid w:val="7A3D5F9A"/>
    <w:rsid w:val="7A561DDD"/>
    <w:rsid w:val="7A562104"/>
    <w:rsid w:val="7A844AF8"/>
    <w:rsid w:val="7AB34817"/>
    <w:rsid w:val="7AFA4D2B"/>
    <w:rsid w:val="7B4125EA"/>
    <w:rsid w:val="7B5619F7"/>
    <w:rsid w:val="7B666CBD"/>
    <w:rsid w:val="7B836872"/>
    <w:rsid w:val="7B9C0753"/>
    <w:rsid w:val="7B9E6857"/>
    <w:rsid w:val="7BC10F8B"/>
    <w:rsid w:val="7BED1B2C"/>
    <w:rsid w:val="7C157B25"/>
    <w:rsid w:val="7C3F595C"/>
    <w:rsid w:val="7C5118CA"/>
    <w:rsid w:val="7C622329"/>
    <w:rsid w:val="7C6A4A2E"/>
    <w:rsid w:val="7CA7624C"/>
    <w:rsid w:val="7CD1448D"/>
    <w:rsid w:val="7CD1619D"/>
    <w:rsid w:val="7CDA64EC"/>
    <w:rsid w:val="7CEF554F"/>
    <w:rsid w:val="7CFC0682"/>
    <w:rsid w:val="7D005642"/>
    <w:rsid w:val="7D27595F"/>
    <w:rsid w:val="7D2C7FEE"/>
    <w:rsid w:val="7D380E83"/>
    <w:rsid w:val="7D5E3180"/>
    <w:rsid w:val="7D6217BC"/>
    <w:rsid w:val="7D8221D6"/>
    <w:rsid w:val="7DA1727D"/>
    <w:rsid w:val="7DAE50E0"/>
    <w:rsid w:val="7DEC37C3"/>
    <w:rsid w:val="7E29589E"/>
    <w:rsid w:val="7E471C13"/>
    <w:rsid w:val="7E61558C"/>
    <w:rsid w:val="7E717E46"/>
    <w:rsid w:val="7E9C0B32"/>
    <w:rsid w:val="7EAF19AB"/>
    <w:rsid w:val="7F086396"/>
    <w:rsid w:val="7F224767"/>
    <w:rsid w:val="7F6233A6"/>
    <w:rsid w:val="7F682353"/>
    <w:rsid w:val="7F892326"/>
    <w:rsid w:val="7FAE03E1"/>
    <w:rsid w:val="7FD62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20" w:lineRule="exact"/>
      <w:ind w:firstLine="600" w:firstLineChars="200"/>
      <w:jc w:val="both"/>
    </w:pPr>
    <w:rPr>
      <w:rFonts w:ascii="Times New Roman" w:hAnsi="Times New Roman" w:eastAsia="方正仿宋_GBK" w:cs="方正仿宋_GBK"/>
      <w:kern w:val="2"/>
      <w:sz w:val="32"/>
      <w:szCs w:val="32"/>
      <w:lang w:val="en-US" w:eastAsia="zh-CN" w:bidi="ar-SA"/>
    </w:rPr>
  </w:style>
  <w:style w:type="paragraph" w:styleId="5">
    <w:name w:val="heading 1"/>
    <w:basedOn w:val="1"/>
    <w:next w:val="1"/>
    <w:qFormat/>
    <w:uiPriority w:val="0"/>
    <w:pPr>
      <w:keepNext/>
      <w:keepLines/>
      <w:spacing w:beforeLines="0" w:beforeAutospacing="0" w:afterLines="0" w:afterAutospacing="0" w:line="620" w:lineRule="exact"/>
      <w:outlineLvl w:val="0"/>
    </w:pPr>
    <w:rPr>
      <w:rFonts w:ascii="Times New Roman" w:hAnsi="Times New Roman" w:eastAsia="方正黑体_GBK" w:cs="方正黑体_GBK"/>
      <w:kern w:val="44"/>
    </w:rPr>
  </w:style>
  <w:style w:type="paragraph" w:styleId="6">
    <w:name w:val="heading 2"/>
    <w:basedOn w:val="1"/>
    <w:next w:val="1"/>
    <w:link w:val="41"/>
    <w:qFormat/>
    <w:uiPriority w:val="1"/>
    <w:pPr>
      <w:spacing w:line="620" w:lineRule="exact"/>
      <w:ind w:left="0"/>
      <w:outlineLvl w:val="1"/>
    </w:pPr>
    <w:rPr>
      <w:rFonts w:ascii="Times New Roman" w:hAnsi="Times New Roman" w:eastAsia="方正楷体_GBK" w:cs="方正楷体_GBK"/>
      <w:b/>
      <w:bCs/>
      <w:lang w:val="zh-CN" w:bidi="zh-CN"/>
    </w:rPr>
  </w:style>
  <w:style w:type="paragraph" w:styleId="7">
    <w:name w:val="heading 3"/>
    <w:basedOn w:val="1"/>
    <w:next w:val="1"/>
    <w:link w:val="40"/>
    <w:unhideWhenUsed/>
    <w:qFormat/>
    <w:uiPriority w:val="0"/>
    <w:pPr>
      <w:keepNext/>
      <w:keepLines/>
      <w:spacing w:beforeLines="0" w:beforeAutospacing="0" w:afterLines="0" w:afterAutospacing="0" w:line="560" w:lineRule="exact"/>
      <w:outlineLvl w:val="2"/>
    </w:pPr>
    <w:rPr>
      <w:rFonts w:eastAsia="方正仿宋简体" w:cs="方正仿宋简体"/>
      <w:b/>
      <w:bCs/>
    </w:rPr>
  </w:style>
  <w:style w:type="paragraph" w:styleId="8">
    <w:name w:val="heading 4"/>
    <w:basedOn w:val="1"/>
    <w:next w:val="1"/>
    <w:link w:val="39"/>
    <w:unhideWhenUsed/>
    <w:qFormat/>
    <w:uiPriority w:val="0"/>
    <w:pPr>
      <w:keepNext/>
      <w:keepLines/>
      <w:spacing w:beforeLines="0" w:beforeAutospacing="0" w:afterLines="0" w:afterAutospacing="0" w:line="620" w:lineRule="exact"/>
      <w:outlineLvl w:val="3"/>
    </w:pPr>
    <w:rPr>
      <w:rFonts w:ascii="Times New Roman" w:hAnsi="Times New Roman" w:eastAsia="方正小标宋简体" w:cs="方正小标宋简体"/>
      <w:sz w:val="40"/>
      <w:szCs w:val="40"/>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4"/>
    <w:qFormat/>
    <w:uiPriority w:val="0"/>
    <w:pPr>
      <w:shd w:val="clear" w:color="auto" w:fill="FFFFFF"/>
      <w:spacing w:line="595" w:lineRule="exact"/>
      <w:ind w:firstLine="200" w:firstLineChars="200"/>
      <w:jc w:val="distribute"/>
    </w:pPr>
    <w:rPr>
      <w:sz w:val="20"/>
      <w:szCs w:val="20"/>
    </w:rPr>
  </w:style>
  <w:style w:type="paragraph" w:styleId="3">
    <w:name w:val="Body Text"/>
    <w:basedOn w:val="1"/>
    <w:next w:val="4"/>
    <w:link w:val="25"/>
    <w:qFormat/>
    <w:uiPriority w:val="1"/>
    <w:rPr>
      <w:rFonts w:ascii="方正仿宋_GBK" w:hAnsi="方正仿宋_GBK" w:eastAsia="方正仿宋_GBK" w:cs="方正仿宋_GBK"/>
      <w:lang w:val="zh-CN" w:bidi="zh-CN"/>
    </w:rPr>
  </w:style>
  <w:style w:type="paragraph" w:styleId="4">
    <w:name w:val="footer"/>
    <w:basedOn w:val="1"/>
    <w:next w:val="1"/>
    <w:qFormat/>
    <w:uiPriority w:val="0"/>
    <w:pPr>
      <w:tabs>
        <w:tab w:val="center" w:pos="4153"/>
        <w:tab w:val="right" w:pos="8306"/>
      </w:tabs>
      <w:snapToGrid w:val="0"/>
      <w:ind w:firstLine="0" w:firstLineChars="0"/>
      <w:jc w:val="center"/>
    </w:pPr>
    <w:rPr>
      <w:rFonts w:ascii="宋体" w:hAnsi="宋体" w:eastAsia="宋体" w:cs="宋体"/>
      <w:sz w:val="28"/>
      <w:szCs w:val="28"/>
    </w:rPr>
  </w:style>
  <w:style w:type="paragraph" w:styleId="9">
    <w:name w:val="annotation text"/>
    <w:basedOn w:val="1"/>
    <w:link w:val="28"/>
    <w:unhideWhenUsed/>
    <w:qFormat/>
    <w:uiPriority w:val="99"/>
    <w:rPr>
      <w:rFonts w:ascii="Calibri" w:hAnsi="Calibri" w:cs="Times New Roman"/>
      <w:kern w:val="0"/>
      <w:sz w:val="20"/>
      <w:szCs w:val="20"/>
    </w:rPr>
  </w:style>
  <w:style w:type="paragraph" w:styleId="10">
    <w:name w:val="toc 3"/>
    <w:basedOn w:val="1"/>
    <w:next w:val="1"/>
    <w:qFormat/>
    <w:uiPriority w:val="0"/>
    <w:pPr>
      <w:ind w:left="840" w:leftChars="400"/>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unhideWhenUsed/>
    <w:qFormat/>
    <w:uiPriority w:val="39"/>
    <w:pPr>
      <w:spacing w:before="120" w:after="120"/>
      <w:jc w:val="left"/>
    </w:pPr>
    <w:rPr>
      <w:rFonts w:ascii="Calibri" w:hAnsi="Calibri" w:cs="Calibri"/>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Hyperlink"/>
    <w:basedOn w:val="17"/>
    <w:qFormat/>
    <w:uiPriority w:val="0"/>
    <w:rPr>
      <w:color w:val="0000FF"/>
      <w:u w:val="single"/>
    </w:rPr>
  </w:style>
  <w:style w:type="paragraph" w:customStyle="1" w:styleId="20">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1"/>
    <w:pPr>
      <w:ind w:left="1002" w:hanging="243"/>
    </w:pPr>
    <w:rPr>
      <w:rFonts w:ascii="仿宋_GB2312" w:hAnsi="仿宋_GB2312" w:eastAsia="仿宋_GB2312" w:cs="仿宋_GB2312"/>
      <w:lang w:val="zh-CN" w:eastAsia="zh-CN" w:bidi="zh-CN"/>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闻政-正文段落文字"/>
    <w:basedOn w:val="1"/>
    <w:qFormat/>
    <w:uiPriority w:val="3"/>
    <w:pPr>
      <w:spacing w:line="500" w:lineRule="exact"/>
      <w:ind w:firstLine="200"/>
    </w:pPr>
    <w:rPr>
      <w:rFonts w:ascii="Times New Roman" w:hAnsi="Times New Roman" w:cs="Times New Roman"/>
      <w:kern w:val="0"/>
      <w:szCs w:val="28"/>
    </w:rPr>
  </w:style>
  <w:style w:type="paragraph" w:customStyle="1" w:styleId="24">
    <w:name w:val="闻政正文"/>
    <w:basedOn w:val="1"/>
    <w:qFormat/>
    <w:uiPriority w:val="99"/>
    <w:pPr>
      <w:spacing w:line="500" w:lineRule="exact"/>
      <w:ind w:firstLine="560" w:firstLineChars="200"/>
    </w:pPr>
    <w:rPr>
      <w:rFonts w:ascii="Times New Roman" w:hAnsi="Times New Roman" w:eastAsia="仿宋_GB2312"/>
      <w:kern w:val="0"/>
      <w:sz w:val="28"/>
      <w:szCs w:val="28"/>
    </w:rPr>
  </w:style>
  <w:style w:type="character" w:customStyle="1" w:styleId="25">
    <w:name w:val="正文文本 Char"/>
    <w:link w:val="3"/>
    <w:qFormat/>
    <w:uiPriority w:val="1"/>
    <w:rPr>
      <w:rFonts w:ascii="方正仿宋_GBK" w:hAnsi="方正仿宋_GBK" w:eastAsia="方正仿宋_GBK" w:cs="方正仿宋_GBK"/>
      <w:sz w:val="32"/>
      <w:szCs w:val="32"/>
      <w:lang w:val="zh-CN" w:eastAsia="zh-CN" w:bidi="zh-CN"/>
    </w:rPr>
  </w:style>
  <w:style w:type="paragraph" w:customStyle="1" w:styleId="26">
    <w:name w:val="闻政-正文一级标题"/>
    <w:basedOn w:val="7"/>
    <w:next w:val="23"/>
    <w:qFormat/>
    <w:uiPriority w:val="3"/>
    <w:pPr>
      <w:spacing w:line="620" w:lineRule="exact"/>
      <w:ind w:firstLine="643" w:firstLineChars="200"/>
      <w:outlineLvl w:val="0"/>
    </w:pPr>
    <w:rPr>
      <w:rFonts w:ascii="方正黑体_GBK" w:hAnsi="方正黑体_GBK" w:eastAsia="方正黑体_GBK" w:cs="方正黑体_GBK"/>
      <w:b w:val="0"/>
      <w:bCs w:val="0"/>
    </w:rPr>
  </w:style>
  <w:style w:type="paragraph" w:customStyle="1" w:styleId="27">
    <w:name w:val="闻政-正文二级标题"/>
    <w:basedOn w:val="6"/>
    <w:next w:val="23"/>
    <w:qFormat/>
    <w:uiPriority w:val="3"/>
    <w:pPr>
      <w:spacing w:before="120" w:after="60" w:line="500" w:lineRule="exact"/>
      <w:ind w:left="200" w:leftChars="200" w:firstLine="0" w:firstLineChars="0"/>
    </w:pPr>
    <w:rPr>
      <w:rFonts w:ascii="Times New Roman" w:hAnsi="Times New Roman"/>
      <w:sz w:val="28"/>
    </w:rPr>
  </w:style>
  <w:style w:type="character" w:customStyle="1" w:styleId="28">
    <w:name w:val="批注文字 字符"/>
    <w:basedOn w:val="17"/>
    <w:link w:val="9"/>
    <w:qFormat/>
    <w:uiPriority w:val="0"/>
    <w:rPr>
      <w:rFonts w:hint="default" w:ascii="Calibri" w:hAnsi="Calibri" w:eastAsia="仿宋_GB2312" w:cs="Calibri"/>
      <w:lang w:bidi="ar"/>
    </w:rPr>
  </w:style>
  <w:style w:type="paragraph" w:customStyle="1" w:styleId="29">
    <w:name w:val="FZ表格标题行首列"/>
    <w:basedOn w:val="1"/>
    <w:qFormat/>
    <w:uiPriority w:val="0"/>
    <w:pPr>
      <w:snapToGrid w:val="0"/>
      <w:spacing w:before="10" w:after="10"/>
      <w:ind w:left="1" w:leftChars="1" w:right="1" w:rightChars="1" w:firstLine="74" w:firstLineChars="50"/>
      <w:jc w:val="left"/>
    </w:pPr>
    <w:rPr>
      <w:rFonts w:ascii="宋体" w:hAnsi="宋体" w:eastAsia="宋体"/>
      <w:color w:val="000000"/>
      <w:sz w:val="18"/>
    </w:rPr>
  </w:style>
  <w:style w:type="paragraph" w:customStyle="1" w:styleId="30">
    <w:name w:val="FZ表格标题行"/>
    <w:basedOn w:val="1"/>
    <w:qFormat/>
    <w:uiPriority w:val="0"/>
    <w:pPr>
      <w:snapToGrid w:val="0"/>
      <w:spacing w:before="10" w:after="10"/>
      <w:ind w:left="1" w:leftChars="1" w:right="1" w:rightChars="1" w:firstLine="74" w:firstLineChars="74"/>
      <w:jc w:val="center"/>
    </w:pPr>
    <w:rPr>
      <w:rFonts w:ascii="宋体" w:hAnsi="宋体" w:eastAsia="宋体"/>
      <w:color w:val="000000"/>
      <w:sz w:val="18"/>
    </w:rPr>
  </w:style>
  <w:style w:type="paragraph" w:customStyle="1" w:styleId="31">
    <w:name w:val="FZ标题3"/>
    <w:basedOn w:val="7"/>
    <w:qFormat/>
    <w:uiPriority w:val="0"/>
    <w:pPr>
      <w:keepNext w:val="0"/>
      <w:keepLines w:val="0"/>
      <w:snapToGrid w:val="0"/>
      <w:spacing w:before="0" w:beforeLines="50" w:after="0" w:line="360" w:lineRule="auto"/>
      <w:ind w:left="1" w:leftChars="1" w:right="1" w:rightChars="1" w:firstLine="200" w:firstLineChars="200"/>
      <w:jc w:val="left"/>
    </w:pPr>
    <w:rPr>
      <w:rFonts w:ascii="宋体" w:hAnsi="宋体" w:eastAsia="仿宋_GB2312" w:cstheme="majorBidi"/>
      <w:color w:val="000000"/>
      <w:sz w:val="28"/>
    </w:rPr>
  </w:style>
  <w:style w:type="paragraph" w:customStyle="1" w:styleId="32">
    <w:name w:val="FZ正文"/>
    <w:basedOn w:val="1"/>
    <w:qFormat/>
    <w:uiPriority w:val="0"/>
    <w:pPr>
      <w:snapToGrid w:val="0"/>
      <w:spacing w:line="360" w:lineRule="auto"/>
      <w:ind w:left="1" w:leftChars="1" w:right="1" w:rightChars="1" w:firstLine="200" w:firstLineChars="200"/>
    </w:pPr>
    <w:rPr>
      <w:rFonts w:ascii="Times New Roman" w:hAnsi="Times New Roman" w:eastAsia="仿宋_GB2312" w:cs="Times New Roman"/>
      <w:color w:val="000000"/>
      <w:sz w:val="28"/>
    </w:rPr>
  </w:style>
  <w:style w:type="paragraph" w:customStyle="1" w:styleId="33">
    <w:name w:val="FZ副标题"/>
    <w:basedOn w:val="1"/>
    <w:qFormat/>
    <w:uiPriority w:val="0"/>
    <w:pPr>
      <w:snapToGrid w:val="0"/>
      <w:spacing w:beforeLines="50"/>
      <w:ind w:left="1" w:leftChars="1" w:right="1" w:rightChars="1" w:firstLine="1" w:firstLineChars="1"/>
      <w:jc w:val="center"/>
    </w:pPr>
    <w:rPr>
      <w:rFonts w:ascii="宋体" w:hAnsi="宋体" w:eastAsia="仿宋_GB2312"/>
      <w:color w:val="000000"/>
      <w:sz w:val="28"/>
    </w:rPr>
  </w:style>
  <w:style w:type="paragraph" w:customStyle="1" w:styleId="34">
    <w:name w:val="FZ表格正文行首列"/>
    <w:basedOn w:val="1"/>
    <w:qFormat/>
    <w:uiPriority w:val="0"/>
    <w:pPr>
      <w:snapToGrid w:val="0"/>
      <w:spacing w:before="10" w:after="10"/>
      <w:ind w:left="1" w:leftChars="1" w:right="1" w:rightChars="1" w:firstLine="50" w:firstLineChars="50"/>
      <w:jc w:val="left"/>
    </w:pPr>
    <w:rPr>
      <w:rFonts w:ascii="宋体" w:hAnsi="宋体" w:eastAsia="宋体"/>
      <w:color w:val="000000"/>
      <w:sz w:val="18"/>
    </w:rPr>
  </w:style>
  <w:style w:type="paragraph" w:customStyle="1" w:styleId="35">
    <w:name w:val="FZ表格正文行"/>
    <w:basedOn w:val="1"/>
    <w:qFormat/>
    <w:uiPriority w:val="0"/>
    <w:pPr>
      <w:snapToGrid w:val="0"/>
      <w:spacing w:before="10" w:after="10"/>
      <w:ind w:left="1" w:leftChars="1" w:right="1" w:rightChars="50" w:firstLine="74" w:firstLineChars="50"/>
      <w:jc w:val="right"/>
    </w:pPr>
    <w:rPr>
      <w:rFonts w:ascii="Times New Roman" w:hAnsi="Times New Roman" w:eastAsia="宋体"/>
      <w:color w:val="000000"/>
      <w:sz w:val="18"/>
    </w:rPr>
  </w:style>
  <w:style w:type="table" w:customStyle="1" w:styleId="36">
    <w:name w:val="表格样式1"/>
    <w:basedOn w:val="15"/>
    <w:qFormat/>
    <w:uiPriority w:val="0"/>
  </w:style>
  <w:style w:type="paragraph" w:customStyle="1" w:styleId="37">
    <w:name w:val="WPSOffice手动目录 1"/>
    <w:qFormat/>
    <w:uiPriority w:val="0"/>
    <w:pPr>
      <w:spacing w:line="620" w:lineRule="exact"/>
      <w:ind w:leftChars="0"/>
    </w:pPr>
    <w:rPr>
      <w:rFonts w:ascii="Times New Roman" w:hAnsi="Times New Roman" w:eastAsia="方正仿宋_GBK" w:cs="方正仿宋_GBK"/>
      <w:b/>
      <w:sz w:val="32"/>
      <w:szCs w:val="32"/>
    </w:rPr>
  </w:style>
  <w:style w:type="paragraph" w:customStyle="1" w:styleId="38">
    <w:name w:val="WPSOffice手动目录 2"/>
    <w:qFormat/>
    <w:uiPriority w:val="0"/>
    <w:pPr>
      <w:spacing w:line="620" w:lineRule="exact"/>
      <w:ind w:leftChars="0" w:firstLine="643" w:firstLineChars="200"/>
    </w:pPr>
    <w:rPr>
      <w:rFonts w:ascii="Times New Roman" w:hAnsi="Times New Roman" w:eastAsia="方正仿宋_GBK" w:cs="方正仿宋_GBK"/>
      <w:sz w:val="32"/>
      <w:szCs w:val="32"/>
    </w:rPr>
  </w:style>
  <w:style w:type="character" w:customStyle="1" w:styleId="39">
    <w:name w:val="标题 4 Char"/>
    <w:link w:val="8"/>
    <w:qFormat/>
    <w:uiPriority w:val="0"/>
    <w:rPr>
      <w:rFonts w:ascii="Times New Roman" w:hAnsi="Times New Roman" w:eastAsia="方正小标宋简体" w:cs="方正小标宋简体"/>
      <w:sz w:val="40"/>
      <w:szCs w:val="40"/>
    </w:rPr>
  </w:style>
  <w:style w:type="character" w:customStyle="1" w:styleId="40">
    <w:name w:val="标题 3 Char"/>
    <w:link w:val="7"/>
    <w:qFormat/>
    <w:uiPriority w:val="0"/>
    <w:rPr>
      <w:rFonts w:eastAsia="方正仿宋简体" w:cs="方正仿宋简体"/>
      <w:b/>
      <w:bCs/>
    </w:rPr>
  </w:style>
  <w:style w:type="character" w:customStyle="1" w:styleId="41">
    <w:name w:val="标题 2 Char"/>
    <w:link w:val="6"/>
    <w:qFormat/>
    <w:uiPriority w:val="1"/>
    <w:rPr>
      <w:rFonts w:ascii="Times New Roman" w:hAnsi="Times New Roman" w:eastAsia="方正楷体_GBK" w:cs="方正楷体_GBK"/>
      <w:b/>
      <w:bCs/>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846e3f8c-5b3b-42f7-8242-071c8bed084e</errorID>
      <errorWord>巩固脱贫攻坚成果</errorWord>
      <group>L1_Word</group>
      <groupName>字词问题</groupName>
      <ability>L2_Typo</ability>
      <abilityName>字词错误</abilityName>
      <candidateList>
        <item>巩固拓展脱贫攻坚成果</item>
      </candidateList>
      <explain/>
      <paraID>29653AA5</paraID>
      <start>195</start>
      <end>205</end>
      <status>modified</status>
      <modifiedWord>巩固拓展脱贫攻坚成果</modifiedWord>
      <trackRevisions>false</trackRevisions>
    </reviewItem>
    <reviewItem>
      <errorID>598d3d56-9657-4a4d-9021-e7f08f619cdd</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3394C301</paraID>
      <start>3</start>
      <end>11</end>
      <status>modified</status>
      <modifiedWord>中共中央、国务院</modifiedWord>
      <trackRevisions>false</trackRevisions>
    </reviewItem>
    <reviewItem>
      <errorID>de26f3c9-a257-4de7-a2cb-b8a91b70a6ba</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16D944BF</paraID>
      <start>66</start>
      <end>74</end>
      <status>modified</status>
      <modifiedWord>中共中央、国务院</modifiedWord>
      <trackRevisions>false</trackRevisions>
    </reviewItem>
    <reviewItem>
      <errorID>5f3bc322-79d2-46ed-9994-e4133593203d</errorID>
      <errorWord>巩固脱贫攻坚成果</errorWord>
      <group>L1_Word</group>
      <groupName>字词问题</groupName>
      <ability>L2_Typo</ability>
      <abilityName>字词错误</abilityName>
      <candidateList>
        <item>巩固拓展脱贫攻坚成果</item>
      </candidateList>
      <explain/>
      <paraID>21DD3A53</paraID>
      <start>190</start>
      <end>200</end>
      <status>modified</status>
      <modifiedWord>巩固拓展脱贫攻坚成果</modifiedWord>
      <trackRevisions>false</trackRevisions>
    </reviewItem>
    <reviewItem>
      <errorID>11e373a5-847e-4618-b608-3fcf22dbb7c6</errorID>
      <errorWord>法律、法规</errorWord>
      <group>L1_Word</group>
      <groupName>字词问题</groupName>
      <ability>L2_Typo</ability>
      <abilityName>字词错误</abilityName>
      <candidateList>
        <item>法律法规</item>
      </candidateList>
      <explain/>
      <paraID>76464626</paraID>
      <start>16</start>
      <end>20</end>
      <status>modified</status>
      <modifiedWord>法律法规</modifiedWord>
      <trackRevisions>false</trackRevisions>
    </reviewItem>
    <reviewItem>
      <errorID>61165af9-971d-45ad-84c3-c04eaf52ed62</errorID>
      <errorWord>门</errorWord>
      <group>L1_Word</group>
      <groupName>字词问题</groupName>
      <ability>L2_Typo</ability>
      <abilityName>字词错误</abilityName>
      <candidateList>
        <item>门之</item>
      </candidateList>
      <explain/>
      <paraID>5260D655</paraID>
      <start>70</start>
      <end>72</end>
      <status>modified</status>
      <modifiedWord>门之</modifiedWord>
      <trackRevisions>false</trackRevisions>
    </reviewItem>
    <reviewItem>
      <errorID>7d3ac670-3b21-4a20-b874-f863e1b42bb2</errorID>
      <errorWord>《中共中央、国务院</errorWord>
      <group>L1_Political</group>
      <groupName>政治性问题</groupName>
      <ability>L2_Unpolitical</ability>
      <abilityName>政治敏感错误</abilityName>
      <candidateList>
        <item>《中共中央 国务院</item>
      </candidateList>
      <explain/>
      <paraID>4C3C21C4</paraID>
      <start>2</start>
      <end>11</end>
      <status>ignored</status>
      <modifiedWord/>
      <trackRevisions>false</trackRevisions>
    </reviewItem>
    <reviewItem>
      <errorID>b2f01b94-b72f-48c5-8ab8-acca3c1d6bba</errorID>
      <errorWord>）</errorWord>
      <group>L1_Word</group>
      <groupName>字词问题</groupName>
      <ability>L2_Typo</ability>
      <abilityName>字词错误</abilityName>
      <candidateList>
        <item>）和</item>
      </candidateList>
      <explain/>
      <paraID>3240EF93</paraID>
      <start>162</start>
      <end>164</end>
      <status>modified</status>
      <modifiedWord>）和</modifiedWord>
      <trackRevisions>false</trackRevisions>
    </reviewItem>
    <reviewItem>
      <errorID>deafe23b-56bb-4636-b738-821f475d92ab</errorID>
      <errorWord>与</errorWord>
      <group>L1_Word</group>
      <groupName>字词问题</groupName>
      <ability>L2_Typo</ability>
      <abilityName>字词错误</abilityName>
      <candidateList>
        <item>与各</item>
      </candidateList>
      <explain/>
      <paraID>3240EF93</paraID>
      <start>250</start>
      <end>252</end>
      <status>modified</status>
      <modifiedWord>与各</modifiedWord>
      <trackRevisions>false</trackRevisions>
    </reviewItem>
    <reviewItem>
      <errorID>d83ed690-1a47-4201-827d-e34f9bacc489</errorID>
      <errorWord>，</errorWord>
      <group>L1_Word</group>
      <groupName>字词问题</groupName>
      <ability>L2_Typo</ability>
      <abilityName>字词错误</abilityName>
      <candidateList>
        <item>，经</item>
      </candidateList>
      <explain/>
      <paraID>3240EF93</paraID>
      <start>307</start>
      <end>309</end>
      <status>modified</status>
      <modifiedWord>，经</modifiedWord>
      <trackRevisions>false</trackRevisions>
    </reviewItem>
    <reviewItem>
      <errorID>61c5fd1e-0146-4c36-8641-0ee1041184bb</errorID>
      <errorWord>截止</errorWord>
      <group>L1_Word</group>
      <groupName>字词问题</groupName>
      <ability>L2_Typo</ability>
      <abilityName>字词错误</abilityName>
      <candidateList>
        <item>截至</item>
      </candidateList>
      <explain>存在发音相同字词的误用。</explain>
      <paraID>3EA50F66</paraID>
      <start>228</start>
      <end>230</end>
      <status>modified</status>
      <modifiedWord>截至</modifiedWord>
      <trackRevisions>false</trackRevisions>
    </reviewItem>
    <reviewItem>
      <errorID>1e3fc5ec-1da8-4128-bbc5-113311b67099</errorID>
      <errorWord>项目2025年</errorWord>
      <group>L1_Word</group>
      <groupName>字词问题</groupName>
      <ability>L2_Typo</ability>
      <abilityName>字词错误</abilityName>
      <candidateList>
        <item>项目于2025年</item>
      </candidateList>
      <explain/>
      <paraID>563B1BAB</paraID>
      <start>22</start>
      <end>30</end>
      <status>modified</status>
      <modifiedWord>项目于2025年</modifiedWord>
      <trackRevisions>false</trackRevisions>
    </reviewItem>
    <reviewItem>
      <errorID>579b8f9f-6f2a-41ef-885b-e6f616d8a881</errorID>
      <errorWord>》</errorWord>
      <group>L1_Word</group>
      <groupName>字词问题</groupName>
      <ability>L2_Typo</ability>
      <abilityName>字词错误</abilityName>
      <candidateList>
        <item>》等</item>
      </candidateList>
      <explain/>
      <paraID>56A6EC1F</paraID>
      <start>50</start>
      <end>52</end>
      <status>modified</status>
      <modifiedWord>》等</modifiedWord>
      <trackRevisions>false</trackRevisions>
    </reviewItem>
    <reviewItem>
      <errorID>212df3a7-a7f1-49e1-9819-959e0b93c4de</errorID>
      <errorWord>项目项目</errorWord>
      <group>L1_Word</group>
      <groupName>字词问题</groupName>
      <ability>L2_Typo</ability>
      <abilityName>字词错误</abilityName>
      <candidateList>
        <item>项目</item>
      </candidateList>
      <explain/>
      <paraID>56A6EC1F</paraID>
      <start>488</start>
      <end>490</end>
      <status>modified</status>
      <modifiedWord>项目</modifiedWord>
      <trackRevisions>false</trackRevisions>
    </reviewItem>
    <reviewItem>
      <errorID>c0a88673-069e-488e-a0b0-a14e1f421a8e</errorID>
      <errorWord>：</errorWord>
      <group>L1_Format</group>
      <groupName>格式问题</groupName>
      <ability>L2_HalfPunc_CN</ability>
      <abilityName>全半角检查</abilityName>
      <candidateList>
        <item>:</item>
      </candidateList>
      <explain>文本全半角错误。</explain>
      <paraID>34171B6F</paraID>
      <start>3</start>
      <end>4</end>
      <status>modified</status>
      <modifiedWord>:</modifiedWord>
      <trackRevisions>false</trackRevisions>
    </reviewItem>
    <reviewItem>
      <errorID>8996ab50-c646-434a-9711-256731790c04</errorID>
      <errorWord>，</errorWord>
      <group>L1_Word</group>
      <groupName>字词问题</groupName>
      <ability>L2_Typo</ability>
      <abilityName>字词错误</abilityName>
      <candidateList>
        <item>，将</item>
      </candidateList>
      <explain/>
      <paraID> D85A1DF</paraID>
      <start>25</start>
      <end>27</end>
      <status>modified</status>
      <modifiedWord>，将</modifiedWord>
      <trackRevisions>false</trackRevisions>
    </reviewItem>
    <reviewItem>
      <errorID>f8dff362-0dad-4045-8095-2b12b3d6fa24</errorID>
      <errorWord>，</errorWord>
      <group>L1_Word</group>
      <groupName>字词问题</groupName>
      <ability>L2_Typo</ability>
      <abilityName>字词错误</abilityName>
      <candidateList>
        <item>，经</item>
      </candidateList>
      <explain/>
      <paraID>3FA38D3E</paraID>
      <start>17</start>
      <end>19</end>
      <status>modified</status>
      <modifiedWord>，经</modifiedWord>
      <trackRevisions>false</trackRevisions>
    </reviewItem>
    <reviewItem>
      <errorID>2d4e440d-b94d-441f-ab7c-facc6ae799d7</errorID>
      <errorWord>》</errorWord>
      <group>L1_Word</group>
      <groupName>字词问题</groupName>
      <ability>L2_Typo</ability>
      <abilityName>字词错误</abilityName>
      <candidateList>
        <item>》等</item>
      </candidateList>
      <explain/>
      <paraID>21660CD9</paraID>
      <start>39</start>
      <end>40</end>
      <status>ignored</status>
      <modifiedWord/>
      <trackRevisions>false</trackRevisions>
    </reviewItem>
    <reviewItem>
      <errorID>460a4a25-6f7a-45a9-af7f-b581b9df21c9</errorID>
      <errorWord>反应</errorWord>
      <group>L1_Word</group>
      <groupName>字词问题</groupName>
      <ability>L2_Typo</ability>
      <abilityName>字词错误</abilityName>
      <candidateList>
        <item>反映</item>
      </candidateList>
      <explain/>
      <paraID>2C7D96C8</paraID>
      <start>4</start>
      <end>6</end>
      <status>modified</status>
      <modifiedWord>反映</modifiedWord>
      <trackRevisions>false</trackRevisions>
    </reviewItem>
    <reviewItem>
      <errorID>635e2d6f-ff9a-43c9-949d-3e602b791d71</errorID>
      <errorWord>对于</errorWord>
      <group>L1_Word</group>
      <groupName>字词问题</groupName>
      <ability>L2_Typo</ability>
      <abilityName>字词错误</abilityName>
      <candidateList>
        <item>对</item>
      </candidateList>
      <explain/>
      <paraID>2C7D96C8</paraID>
      <start>19</start>
      <end>20</end>
      <status>modified</status>
      <modifiedWord>对</modifiedWord>
      <trackRevisions>false</trackRevisions>
    </reviewItem>
    <reviewItem>
      <errorID>533f4ad6-afef-410f-be60-c448031aa6d0</errorID>
      <errorWord>根据上述结果显示</errorWord>
      <group>L1_Grammar</group>
      <groupName>语法问题</groupName>
      <ability>L2_Grammar</ability>
      <abilityName>语法错误</abilityName>
      <candidateList>
        <item>根据上述结果</item>
      </candidateList>
      <explain>该表达中的“根据上述结果显示”存在语义重复。</explain>
      <paraID>3636B025</paraID>
      <start>0</start>
      <end>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47529d-1329-426e-b970-832ecf6d4a7f}">
  <ds:schemaRefs/>
</ds:datastoreItem>
</file>

<file path=docProps/app.xml><?xml version="1.0" encoding="utf-8"?>
<Properties xmlns="http://schemas.openxmlformats.org/officeDocument/2006/extended-properties" xmlns:vt="http://schemas.openxmlformats.org/officeDocument/2006/docPropsVTypes">
  <Template>Normal.dotm</Template>
  <Pages>74</Pages>
  <Words>9624</Words>
  <Characters>10315</Characters>
  <Lines>0</Lines>
  <Paragraphs>0</Paragraphs>
  <TotalTime>3</TotalTime>
  <ScaleCrop>false</ScaleCrop>
  <LinksUpToDate>false</LinksUpToDate>
  <CharactersWithSpaces>10401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2021-07-11T09:52:00Z</dcterms:created>
  <dc:creator>醜金寶QQ873133969</dc:creator>
  <cp:lastModifiedBy>赎尽&amp;执念</cp:lastModifiedBy>
  <cp:lastPrinted>2024-10-08T03:00:00Z</cp:lastPrinted>
  <dcterms:modified xsi:type="dcterms:W3CDTF">2026-08-19T05:14:31Z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6A742DA38D6548DE958D16FF66274F6C</vt:lpwstr>
  </property>
  <property fmtid="{D5CDD505-2E9C-101B-9397-08002B2CF9AE}" pid="4" name="KSOSaveFontToCloudKey">
    <vt:lpwstr>1205343577_btnclosed</vt:lpwstr>
  </property>
  <property fmtid="{D5CDD505-2E9C-101B-9397-08002B2CF9AE}" pid="5" name="KSOTemplateDocerSaveRecord">
    <vt:lpwstr>eyJoZGlkIjoiNjkzOTYyOGIwZmFkNjE0NGFjYzI5OTQ0ODUzZDZkOWQiLCJ1c2VySWQiOiI0MjIxMDAzNzcifQ==</vt:lpwstr>
  </property>
</Properties>
</file>