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方正仿宋简体" w:hAnsi="方正仿宋简体" w:eastAsia="方正仿宋简体" w:cs="方正仿宋简体"/>
          <w:b/>
          <w:color w:val="auto"/>
          <w:kern w:val="0"/>
          <w:sz w:val="32"/>
          <w:szCs w:val="32"/>
          <w:shd w:val="clear" w:color="auto" w:fill="auto"/>
          <w:lang w:val="en-US" w:eastAsia="zh-CN"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outlineLvl w:val="9"/>
        <w:rPr>
          <w:rFonts w:hint="eastAsia" w:ascii="黑体" w:hAnsi="黑体" w:eastAsia="黑体" w:cs="黑体"/>
          <w:b/>
          <w:color w:val="auto"/>
          <w:sz w:val="44"/>
          <w:szCs w:val="44"/>
          <w:shd w:val="clear" w:color="auto" w:fill="auto"/>
          <w:lang w:eastAsia="zh-CN"/>
        </w:rPr>
      </w:pPr>
      <w:bookmarkStart w:id="0" w:name="_Toc15282"/>
      <w:bookmarkStart w:id="1" w:name="_Toc10502"/>
      <w:bookmarkStart w:id="2" w:name="_Toc13016"/>
      <w:bookmarkStart w:id="3" w:name="_Toc30866"/>
      <w:r>
        <w:rPr>
          <w:rFonts w:hint="eastAsia" w:ascii="黑体" w:hAnsi="黑体" w:eastAsia="黑体" w:cs="黑体"/>
          <w:b/>
          <w:color w:val="auto"/>
          <w:sz w:val="44"/>
          <w:szCs w:val="44"/>
          <w:shd w:val="clear" w:color="auto" w:fill="auto"/>
          <w:lang w:val="en-US" w:eastAsia="zh-CN"/>
        </w:rPr>
        <w:t>莎车县基础教育设施设备提升（“优分优育”计划）项目</w:t>
      </w:r>
      <w:r>
        <w:rPr>
          <w:rFonts w:hint="eastAsia" w:ascii="黑体" w:hAnsi="黑体" w:eastAsia="黑体" w:cs="黑体"/>
          <w:b/>
          <w:color w:val="auto"/>
          <w:sz w:val="44"/>
          <w:szCs w:val="44"/>
          <w:shd w:val="clear" w:color="auto" w:fill="auto"/>
          <w:lang w:eastAsia="zh-CN"/>
        </w:rPr>
        <w:t>绩效评价报告</w:t>
      </w:r>
      <w:bookmarkEnd w:id="0"/>
      <w:bookmarkEnd w:id="1"/>
      <w:bookmarkEnd w:id="2"/>
      <w:bookmarkEnd w:id="3"/>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center"/>
        <w:textAlignment w:val="auto"/>
        <w:rPr>
          <w:rFonts w:hint="eastAsia" w:ascii="方正仿宋简体" w:hAnsi="方正仿宋简体" w:eastAsia="方正仿宋简体" w:cs="方正仿宋简体"/>
          <w:b/>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left="1596" w:leftChars="570" w:right="0" w:firstLine="0" w:firstLineChars="0"/>
        <w:jc w:val="left"/>
        <w:textAlignment w:val="auto"/>
        <w:rPr>
          <w:rFonts w:hint="eastAsia" w:ascii="方正楷体_GBK" w:hAnsi="方正楷体_GBK" w:eastAsia="方正楷体_GBK" w:cs="方正楷体_GBK"/>
          <w:b w:val="0"/>
          <w:bCs w:val="0"/>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left="1596" w:leftChars="570" w:right="0" w:firstLine="0" w:firstLineChars="0"/>
        <w:jc w:val="both"/>
        <w:textAlignment w:val="auto"/>
        <w:rPr>
          <w:rFonts w:hint="eastAsia" w:ascii="方正楷体_GBK" w:hAnsi="方正楷体_GBK" w:eastAsia="方正楷体_GBK" w:cs="方正楷体_GBK"/>
          <w:b/>
          <w:bCs/>
          <w:color w:val="auto"/>
          <w:kern w:val="0"/>
          <w:sz w:val="32"/>
          <w:szCs w:val="32"/>
          <w:shd w:val="clear" w:color="auto" w:fill="auto"/>
          <w:lang w:eastAsia="zh-CN" w:bidi="en-US"/>
        </w:rPr>
      </w:pPr>
      <w:r>
        <w:rPr>
          <w:rFonts w:hint="eastAsia" w:ascii="方正楷体_GBK" w:hAnsi="方正楷体_GBK" w:eastAsia="方正楷体_GBK" w:cs="方正楷体_GBK"/>
          <w:b/>
          <w:bCs/>
          <w:color w:val="auto"/>
          <w:kern w:val="0"/>
          <w:sz w:val="32"/>
          <w:szCs w:val="32"/>
          <w:shd w:val="clear" w:color="auto" w:fill="auto"/>
          <w:lang w:eastAsia="zh-CN"/>
        </w:rPr>
        <w:drawing>
          <wp:anchor distT="0" distB="0" distL="114300" distR="114300" simplePos="0" relativeHeight="251659264" behindDoc="1" locked="0" layoutInCell="1" allowOverlap="1">
            <wp:simplePos x="0" y="0"/>
            <wp:positionH relativeFrom="column">
              <wp:posOffset>1819910</wp:posOffset>
            </wp:positionH>
            <wp:positionV relativeFrom="paragraph">
              <wp:posOffset>402590</wp:posOffset>
            </wp:positionV>
            <wp:extent cx="1477645" cy="1477645"/>
            <wp:effectExtent l="0" t="0" r="8255" b="8255"/>
            <wp:wrapNone/>
            <wp:docPr id="2" name="图片 2" descr="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
                    <pic:cNvPicPr>
                      <a:picLocks noChangeAspect="1"/>
                    </pic:cNvPicPr>
                  </pic:nvPicPr>
                  <pic:blipFill>
                    <a:blip r:embed="rId10"/>
                    <a:stretch>
                      <a:fillRect/>
                    </a:stretch>
                  </pic:blipFill>
                  <pic:spPr>
                    <a:xfrm>
                      <a:off x="0" y="0"/>
                      <a:ext cx="1477645" cy="1477645"/>
                    </a:xfrm>
                    <a:prstGeom prst="rect">
                      <a:avLst/>
                    </a:prstGeom>
                  </pic:spPr>
                </pic:pic>
              </a:graphicData>
            </a:graphic>
          </wp:anchor>
        </w:drawing>
      </w:r>
      <w:r>
        <w:rPr>
          <w:rFonts w:hint="eastAsia" w:ascii="方正楷体_GBK" w:hAnsi="方正楷体_GBK" w:eastAsia="方正楷体_GBK" w:cs="方正楷体_GBK"/>
          <w:b/>
          <w:bCs/>
          <w:color w:val="auto"/>
          <w:kern w:val="0"/>
          <w:sz w:val="32"/>
          <w:szCs w:val="32"/>
          <w:shd w:val="clear" w:color="auto" w:fill="auto"/>
          <w:lang w:bidi="en-US"/>
        </w:rPr>
        <w:t>项目名称：</w:t>
      </w:r>
      <w:r>
        <w:rPr>
          <w:rFonts w:hint="eastAsia" w:ascii="方正楷体_GBK" w:hAnsi="方正楷体_GBK" w:eastAsia="方正楷体_GBK" w:cs="方正楷体_GBK"/>
          <w:b/>
          <w:bCs/>
          <w:color w:val="auto"/>
          <w:kern w:val="0"/>
          <w:sz w:val="32"/>
          <w:szCs w:val="32"/>
          <w:shd w:val="clear" w:color="auto" w:fill="auto"/>
          <w:lang w:eastAsia="zh-CN" w:bidi="en-US"/>
        </w:rPr>
        <w:t>莎车县基础教育设施设备提升（“优分优育”计划）项目</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both"/>
        <w:textAlignment w:val="auto"/>
        <w:rPr>
          <w:rFonts w:hint="eastAsia" w:ascii="方正楷体_GBK" w:hAnsi="方正楷体_GBK" w:eastAsia="方正楷体_GBK" w:cs="方正楷体_GBK"/>
          <w:b/>
          <w:bCs/>
          <w:color w:val="auto"/>
          <w:kern w:val="0"/>
          <w:sz w:val="32"/>
          <w:szCs w:val="32"/>
          <w:shd w:val="clear" w:color="auto" w:fill="auto"/>
          <w:lang w:bidi="en-US"/>
        </w:rPr>
      </w:pPr>
      <w:r>
        <w:rPr>
          <w:rFonts w:hint="eastAsia" w:ascii="方正楷体_GBK" w:hAnsi="方正楷体_GBK" w:eastAsia="方正楷体_GBK" w:cs="方正楷体_GBK"/>
          <w:b/>
          <w:bCs/>
          <w:color w:val="auto"/>
          <w:kern w:val="0"/>
          <w:sz w:val="32"/>
          <w:szCs w:val="32"/>
          <w:shd w:val="clear" w:color="auto" w:fill="auto"/>
          <w:lang w:bidi="en-US"/>
        </w:rPr>
        <w:t>项目单位：莎车县教育局</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both"/>
        <w:textAlignment w:val="auto"/>
        <w:rPr>
          <w:rFonts w:hint="eastAsia" w:ascii="方正楷体_GBK" w:hAnsi="方正楷体_GBK" w:eastAsia="方正楷体_GBK" w:cs="方正楷体_GBK"/>
          <w:b/>
          <w:bCs/>
          <w:color w:val="auto"/>
          <w:kern w:val="0"/>
          <w:sz w:val="32"/>
          <w:szCs w:val="32"/>
          <w:shd w:val="clear" w:color="auto" w:fill="auto"/>
          <w:lang w:bidi="en-US"/>
        </w:rPr>
      </w:pPr>
      <w:r>
        <w:rPr>
          <w:rFonts w:hint="eastAsia" w:ascii="方正楷体_GBK" w:hAnsi="方正楷体_GBK" w:eastAsia="方正楷体_GBK" w:cs="方正楷体_GBK"/>
          <w:b/>
          <w:bCs/>
          <w:color w:val="auto"/>
          <w:kern w:val="0"/>
          <w:sz w:val="32"/>
          <w:szCs w:val="32"/>
          <w:shd w:val="clear" w:color="auto" w:fill="auto"/>
          <w:lang w:bidi="en-US"/>
        </w:rPr>
        <w:t>主管部门：莎车县教育局</w:t>
      </w:r>
      <w:bookmarkStart w:id="351" w:name="_GoBack"/>
      <w:bookmarkEnd w:id="351"/>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both"/>
        <w:textAlignment w:val="auto"/>
        <w:rPr>
          <w:rFonts w:hint="eastAsia" w:ascii="方正楷体_GBK" w:hAnsi="方正楷体_GBK" w:eastAsia="方正楷体_GBK" w:cs="方正楷体_GBK"/>
          <w:b/>
          <w:bCs/>
          <w:color w:val="auto"/>
          <w:kern w:val="0"/>
          <w:sz w:val="32"/>
          <w:szCs w:val="32"/>
          <w:shd w:val="clear" w:color="auto" w:fill="auto"/>
          <w:lang w:eastAsia="zh-CN"/>
        </w:rPr>
      </w:pPr>
      <w:r>
        <w:rPr>
          <w:rFonts w:hint="eastAsia" w:ascii="方正楷体_GBK" w:hAnsi="方正楷体_GBK" w:eastAsia="方正楷体_GBK" w:cs="方正楷体_GBK"/>
          <w:b/>
          <w:bCs/>
          <w:color w:val="auto"/>
          <w:kern w:val="0"/>
          <w:sz w:val="32"/>
          <w:szCs w:val="32"/>
          <w:shd w:val="clear" w:color="auto" w:fill="auto"/>
        </w:rPr>
        <w:t>委托单位：莎车县财政局</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06" w:firstLineChars="500"/>
        <w:jc w:val="both"/>
        <w:textAlignment w:val="auto"/>
        <w:rPr>
          <w:rFonts w:hint="eastAsia" w:ascii="方正楷体_GBK" w:hAnsi="方正楷体_GBK" w:eastAsia="方正楷体_GBK" w:cs="方正楷体_GBK"/>
          <w:b/>
          <w:bCs/>
          <w:color w:val="auto"/>
          <w:kern w:val="0"/>
          <w:sz w:val="32"/>
          <w:szCs w:val="32"/>
          <w:shd w:val="clear" w:color="auto" w:fill="auto"/>
        </w:rPr>
      </w:pPr>
      <w:r>
        <w:rPr>
          <w:rFonts w:hint="eastAsia" w:ascii="方正楷体_GBK" w:hAnsi="方正楷体_GBK" w:eastAsia="方正楷体_GBK" w:cs="方正楷体_GBK"/>
          <w:b/>
          <w:bCs/>
          <w:color w:val="auto"/>
          <w:kern w:val="0"/>
          <w:sz w:val="32"/>
          <w:szCs w:val="32"/>
          <w:shd w:val="clear" w:color="auto" w:fill="auto"/>
        </w:rPr>
        <w:t>评价机构：新疆鸿晟达信息咨询有限公司</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1680" w:firstLineChars="600"/>
        <w:jc w:val="both"/>
        <w:textAlignment w:val="auto"/>
        <w:rPr>
          <w:rFonts w:hint="eastAsia" w:ascii="方正楷体_GBK" w:hAnsi="方正楷体_GBK" w:eastAsia="方正楷体_GBK" w:cs="方正楷体_GBK"/>
          <w:b/>
          <w:bCs/>
          <w:color w:val="auto"/>
          <w:kern w:val="0"/>
          <w:sz w:val="32"/>
          <w:szCs w:val="32"/>
          <w:shd w:val="clear" w:color="auto" w:fill="auto"/>
        </w:rPr>
      </w:pPr>
      <w:r>
        <w:rPr>
          <w:rFonts w:hint="eastAsia" w:eastAsia="仿宋_GB2312"/>
          <w:color w:val="auto"/>
          <w:shd w:val="clear" w:color="auto" w:fill="auto"/>
          <w:lang w:eastAsia="zh-CN"/>
        </w:rPr>
        <w:drawing>
          <wp:anchor distT="0" distB="0" distL="114300" distR="114300" simplePos="0" relativeHeight="251660288" behindDoc="1" locked="0" layoutInCell="1" allowOverlap="1">
            <wp:simplePos x="0" y="0"/>
            <wp:positionH relativeFrom="column">
              <wp:posOffset>1936750</wp:posOffset>
            </wp:positionH>
            <wp:positionV relativeFrom="paragraph">
              <wp:posOffset>27940</wp:posOffset>
            </wp:positionV>
            <wp:extent cx="833755" cy="450215"/>
            <wp:effectExtent l="0" t="0" r="48260" b="13335"/>
            <wp:wrapNone/>
            <wp:docPr id="5" name="图片 5" descr="微信图片_20260804105932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804105932_2_14"/>
                    <pic:cNvPicPr>
                      <a:picLocks noChangeAspect="1"/>
                    </pic:cNvPicPr>
                  </pic:nvPicPr>
                  <pic:blipFill>
                    <a:blip r:embed="rId11"/>
                    <a:stretch>
                      <a:fillRect/>
                    </a:stretch>
                  </pic:blipFill>
                  <pic:spPr>
                    <a:xfrm rot="600000">
                      <a:off x="0" y="0"/>
                      <a:ext cx="833755" cy="450215"/>
                    </a:xfrm>
                    <a:prstGeom prst="rect">
                      <a:avLst/>
                    </a:prstGeom>
                  </pic:spPr>
                </pic:pic>
              </a:graphicData>
            </a:graphic>
          </wp:anchor>
        </w:drawing>
      </w:r>
      <w:r>
        <w:rPr>
          <w:rFonts w:hint="eastAsia" w:ascii="仿宋_GB2312" w:hAnsi="仿宋_GB2312" w:eastAsia="仿宋_GB2312" w:cs="仿宋_GB2312"/>
          <w:color w:val="auto"/>
          <w:kern w:val="0"/>
          <w:sz w:val="32"/>
          <w:szCs w:val="32"/>
          <w:shd w:val="clear" w:color="auto" w:fill="auto"/>
          <w:lang w:eastAsia="zh-CN" w:bidi="en-US"/>
        </w:rPr>
        <w:drawing>
          <wp:anchor distT="0" distB="0" distL="114300" distR="114300" simplePos="0" relativeHeight="251661312" behindDoc="0" locked="0" layoutInCell="1" allowOverlap="1">
            <wp:simplePos x="0" y="0"/>
            <wp:positionH relativeFrom="column">
              <wp:posOffset>3225800</wp:posOffset>
            </wp:positionH>
            <wp:positionV relativeFrom="paragraph">
              <wp:posOffset>109855</wp:posOffset>
            </wp:positionV>
            <wp:extent cx="518160" cy="454025"/>
            <wp:effectExtent l="0" t="0" r="15240" b="3175"/>
            <wp:wrapNone/>
            <wp:docPr id="9" name="图片 9" descr="微信图片_20260804105932_2_14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60804105932_2_14 - 副本"/>
                    <pic:cNvPicPr>
                      <a:picLocks noChangeAspect="1"/>
                    </pic:cNvPicPr>
                  </pic:nvPicPr>
                  <pic:blipFill>
                    <a:blip r:embed="rId12"/>
                    <a:stretch>
                      <a:fillRect/>
                    </a:stretch>
                  </pic:blipFill>
                  <pic:spPr>
                    <a:xfrm>
                      <a:off x="0" y="0"/>
                      <a:ext cx="518160" cy="454025"/>
                    </a:xfrm>
                    <a:prstGeom prst="rect">
                      <a:avLst/>
                    </a:prstGeom>
                  </pic:spPr>
                </pic:pic>
              </a:graphicData>
            </a:graphic>
          </wp:anchor>
        </w:drawing>
      </w:r>
      <w:r>
        <w:rPr>
          <w:rFonts w:hint="eastAsia" w:ascii="方正楷体_GBK" w:hAnsi="方正楷体_GBK" w:eastAsia="方正楷体_GBK" w:cs="方正楷体_GBK"/>
          <w:b/>
          <w:bCs/>
          <w:color w:val="auto"/>
          <w:kern w:val="0"/>
          <w:sz w:val="32"/>
          <w:szCs w:val="32"/>
          <w:shd w:val="clear" w:color="auto" w:fill="auto"/>
        </w:rPr>
        <w:t>主评人：</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jc w:val="left"/>
        <w:textAlignment w:val="auto"/>
        <w:rPr>
          <w:rFonts w:hint="eastAsia" w:ascii="仿宋_GB2312" w:hAnsi="仿宋_GB2312" w:eastAsia="仿宋_GB2312" w:cs="仿宋_GB2312"/>
          <w:color w:val="auto"/>
          <w:kern w:val="0"/>
          <w:sz w:val="32"/>
          <w:szCs w:val="32"/>
          <w:shd w:val="clear" w:color="auto" w:fill="auto"/>
          <w:lang w:eastAsia="zh-CN" w:bidi="en-US"/>
        </w:rPr>
      </w:pPr>
    </w:p>
    <w:p>
      <w:pPr>
        <w:pStyle w:val="7"/>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right="0" w:firstLine="0" w:firstLineChars="0"/>
        <w:textAlignment w:val="auto"/>
        <w:outlineLvl w:val="9"/>
        <w:rPr>
          <w:rFonts w:hint="eastAsia" w:ascii="仿宋_GB2312" w:hAnsi="仿宋_GB2312" w:cs="仿宋_GB2312"/>
          <w:color w:val="auto"/>
          <w:kern w:val="0"/>
          <w:sz w:val="32"/>
          <w:szCs w:val="32"/>
          <w:shd w:val="clear" w:color="auto" w:fill="auto"/>
          <w:lang w:bidi="en-US"/>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eastAsia="仿宋_GB2312"/>
          <w:color w:val="auto"/>
          <w:shd w:val="clear" w:color="auto" w:fill="auto"/>
          <w:lang w:eastAsia="zh-CN"/>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jc w:val="center"/>
        <w:textAlignment w:val="auto"/>
        <w:rPr>
          <w:rFonts w:hint="eastAsia" w:ascii="仿宋_GB2312" w:hAnsi="仿宋_GB2312" w:cs="仿宋_GB2312"/>
          <w:color w:val="auto"/>
          <w:kern w:val="0"/>
          <w:sz w:val="32"/>
          <w:szCs w:val="32"/>
          <w:shd w:val="clear" w:color="auto" w:fill="auto"/>
          <w:lang w:bidi="en-US"/>
        </w:rPr>
      </w:pPr>
      <w:r>
        <w:rPr>
          <w:rFonts w:hint="eastAsia" w:ascii="仿宋_GB2312" w:hAnsi="仿宋_GB2312" w:cs="仿宋_GB2312"/>
          <w:color w:val="auto"/>
          <w:kern w:val="0"/>
          <w:sz w:val="32"/>
          <w:szCs w:val="32"/>
          <w:shd w:val="clear" w:color="auto" w:fill="auto"/>
          <w:lang w:val="en-US" w:eastAsia="zh-CN" w:bidi="en-US"/>
        </w:rPr>
        <w:t>2026</w:t>
      </w:r>
      <w:r>
        <w:rPr>
          <w:rFonts w:hint="eastAsia" w:ascii="仿宋_GB2312" w:hAnsi="仿宋_GB2312" w:cs="仿宋_GB2312"/>
          <w:color w:val="auto"/>
          <w:kern w:val="0"/>
          <w:sz w:val="32"/>
          <w:szCs w:val="32"/>
          <w:shd w:val="clear" w:color="auto" w:fill="auto"/>
          <w:lang w:bidi="en-US"/>
        </w:rPr>
        <w:t>年</w:t>
      </w:r>
      <w:r>
        <w:rPr>
          <w:rFonts w:hint="eastAsia" w:ascii="仿宋_GB2312" w:hAnsi="仿宋_GB2312" w:cs="仿宋_GB2312"/>
          <w:color w:val="auto"/>
          <w:kern w:val="0"/>
          <w:sz w:val="32"/>
          <w:szCs w:val="32"/>
          <w:shd w:val="clear" w:color="auto" w:fill="auto"/>
          <w:lang w:val="en-US" w:eastAsia="zh-CN" w:bidi="en-US"/>
        </w:rPr>
        <w:t>7</w:t>
      </w:r>
      <w:r>
        <w:rPr>
          <w:rFonts w:hint="eastAsia" w:ascii="仿宋_GB2312" w:hAnsi="仿宋_GB2312" w:cs="仿宋_GB2312"/>
          <w:color w:val="auto"/>
          <w:kern w:val="0"/>
          <w:sz w:val="32"/>
          <w:szCs w:val="32"/>
          <w:shd w:val="clear" w:color="auto" w:fill="auto"/>
          <w:lang w:bidi="en-US"/>
        </w:rPr>
        <w:t>月</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textAlignment w:val="auto"/>
        <w:rPr>
          <w:rFonts w:hint="eastAsia" w:ascii="仿宋_GB2312" w:hAnsi="仿宋_GB2312" w:cs="仿宋_GB2312"/>
          <w:color w:val="auto"/>
          <w:kern w:val="0"/>
          <w:sz w:val="32"/>
          <w:szCs w:val="32"/>
          <w:shd w:val="clear" w:color="auto" w:fill="auto"/>
          <w:lang w:bidi="en-US"/>
        </w:rPr>
        <w:sectPr>
          <w:headerReference r:id="rId5" w:type="default"/>
          <w:pgSz w:w="11906" w:h="16838"/>
          <w:pgMar w:top="1984" w:right="1531" w:bottom="1701" w:left="1531" w:header="851" w:footer="1304" w:gutter="0"/>
          <w:pgNumType w:fmt="decimal"/>
          <w:cols w:space="425" w:num="1"/>
          <w:docGrid w:type="lines" w:linePitch="312" w:charSpace="0"/>
        </w:sectPr>
      </w:pP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0" w:firstLineChars="0"/>
        <w:jc w:val="center"/>
        <w:textAlignment w:val="auto"/>
        <w:outlineLvl w:val="9"/>
        <w:rPr>
          <w:rFonts w:hint="eastAsia" w:ascii="方正小标宋简体" w:hAnsi="方正小标宋简体" w:eastAsia="方正小标宋简体" w:cs="方正小标宋简体"/>
          <w:b/>
          <w:bCs w:val="0"/>
          <w:color w:val="auto"/>
          <w:sz w:val="40"/>
          <w:szCs w:val="40"/>
          <w:shd w:val="clear" w:color="auto" w:fill="auto"/>
        </w:rPr>
      </w:pPr>
      <w:r>
        <w:rPr>
          <w:rFonts w:hint="eastAsia" w:ascii="方正小标宋简体" w:hAnsi="方正小标宋简体" w:eastAsia="方正小标宋简体" w:cs="方正小标宋简体"/>
          <w:b/>
          <w:bCs w:val="0"/>
          <w:color w:val="auto"/>
          <w:sz w:val="40"/>
          <w:szCs w:val="40"/>
          <w:shd w:val="clear" w:color="auto" w:fill="auto"/>
        </w:rPr>
        <w:t>报告摘要</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outlineLvl w:val="9"/>
        <w:rPr>
          <w:rFonts w:hint="eastAsia" w:ascii="方正仿宋_GBK" w:hAnsi="方正仿宋_GBK" w:eastAsia="方正仿宋_GBK" w:cs="方正仿宋_GBK"/>
          <w:b w:val="0"/>
          <w:bCs/>
          <w:color w:val="auto"/>
          <w:sz w:val="32"/>
          <w:szCs w:val="32"/>
          <w:shd w:val="clear" w:color="auto" w:fill="auto"/>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9"/>
        <w:rPr>
          <w:rFonts w:hint="eastAsia" w:ascii="方正仿宋_GBK" w:hAnsi="方正仿宋_GBK" w:eastAsia="方正仿宋_GBK" w:cs="方正仿宋_GBK"/>
          <w:b w:val="0"/>
          <w:bCs/>
          <w:color w:val="auto"/>
          <w:sz w:val="32"/>
          <w:szCs w:val="32"/>
          <w:shd w:val="clear" w:color="auto" w:fill="auto"/>
        </w:rPr>
      </w:pPr>
      <w:r>
        <w:rPr>
          <w:rFonts w:hint="eastAsia" w:ascii="方正仿宋_GBK" w:hAnsi="方正仿宋_GBK" w:eastAsia="方正仿宋_GBK" w:cs="方正仿宋_GBK"/>
          <w:b w:val="0"/>
          <w:bCs/>
          <w:color w:val="auto"/>
          <w:sz w:val="32"/>
          <w:szCs w:val="32"/>
          <w:shd w:val="clear" w:color="auto" w:fill="auto"/>
          <w:lang w:val="en-US" w:eastAsia="zh-CN"/>
        </w:rPr>
        <w:t>受</w:t>
      </w:r>
      <w:r>
        <w:rPr>
          <w:rFonts w:hint="eastAsia" w:ascii="方正仿宋_GBK" w:hAnsi="方正仿宋_GBK" w:eastAsia="方正仿宋_GBK" w:cs="方正仿宋_GBK"/>
          <w:b w:val="0"/>
          <w:bCs/>
          <w:color w:val="auto"/>
          <w:sz w:val="32"/>
          <w:szCs w:val="32"/>
          <w:shd w:val="clear" w:color="auto" w:fill="auto"/>
          <w:lang w:eastAsia="zh-CN"/>
        </w:rPr>
        <w:t>莎车县</w:t>
      </w:r>
      <w:r>
        <w:rPr>
          <w:rFonts w:hint="eastAsia" w:ascii="方正仿宋_GBK" w:hAnsi="方正仿宋_GBK" w:eastAsia="方正仿宋_GBK" w:cs="方正仿宋_GBK"/>
          <w:b w:val="0"/>
          <w:bCs/>
          <w:color w:val="auto"/>
          <w:sz w:val="32"/>
          <w:szCs w:val="32"/>
          <w:shd w:val="clear" w:color="auto" w:fill="auto"/>
        </w:rPr>
        <w:t>财政局委托，新疆鸿晟达信息咨询有限公司对</w:t>
      </w:r>
      <w:r>
        <w:rPr>
          <w:rFonts w:hint="eastAsia" w:ascii="方正仿宋_GBK" w:hAnsi="方正仿宋_GBK" w:eastAsia="方正仿宋_GBK" w:cs="方正仿宋_GBK"/>
          <w:b w:val="0"/>
          <w:bCs/>
          <w:color w:val="auto"/>
          <w:sz w:val="32"/>
          <w:szCs w:val="32"/>
          <w:shd w:val="clear" w:color="auto" w:fill="auto"/>
          <w:lang w:val="en-US" w:eastAsia="zh-CN"/>
        </w:rPr>
        <w:t>2025</w:t>
      </w:r>
      <w:r>
        <w:rPr>
          <w:rFonts w:hint="eastAsia" w:ascii="方正仿宋_GBK" w:hAnsi="方正仿宋_GBK" w:eastAsia="方正仿宋_GBK" w:cs="方正仿宋_GBK"/>
          <w:b w:val="0"/>
          <w:bCs/>
          <w:color w:val="auto"/>
          <w:sz w:val="32"/>
          <w:szCs w:val="32"/>
          <w:shd w:val="clear" w:color="auto" w:fill="auto"/>
        </w:rPr>
        <w:t>年</w:t>
      </w:r>
      <w:r>
        <w:rPr>
          <w:rFonts w:hint="eastAsia" w:ascii="方正仿宋_GBK" w:hAnsi="方正仿宋_GBK" w:eastAsia="方正仿宋_GBK" w:cs="方正仿宋_GBK"/>
          <w:b w:val="0"/>
          <w:bCs/>
          <w:color w:val="auto"/>
          <w:sz w:val="32"/>
          <w:szCs w:val="32"/>
          <w:shd w:val="clear" w:color="auto" w:fill="auto"/>
          <w:lang w:val="en-US" w:eastAsia="zh-CN"/>
        </w:rPr>
        <w:t>莎车县教育局</w:t>
      </w:r>
      <w:r>
        <w:rPr>
          <w:rFonts w:hint="eastAsia" w:ascii="方正仿宋_GBK" w:hAnsi="方正仿宋_GBK" w:eastAsia="方正仿宋_GBK" w:cs="方正仿宋_GBK"/>
          <w:b w:val="0"/>
          <w:bCs/>
          <w:color w:val="auto"/>
          <w:sz w:val="32"/>
          <w:szCs w:val="32"/>
          <w:shd w:val="clear" w:color="auto" w:fill="auto"/>
        </w:rPr>
        <w:t>实施的</w:t>
      </w:r>
      <w:r>
        <w:rPr>
          <w:rFonts w:hint="eastAsia" w:ascii="方正仿宋_GBK" w:hAnsi="方正仿宋_GBK" w:eastAsia="方正仿宋_GBK" w:cs="方正仿宋_GBK"/>
          <w:b w:val="0"/>
          <w:bCs/>
          <w:color w:val="auto"/>
          <w:sz w:val="32"/>
          <w:szCs w:val="32"/>
          <w:shd w:val="clear" w:color="auto" w:fill="auto"/>
          <w:lang w:val="en-US" w:eastAsia="zh-CN"/>
        </w:rPr>
        <w:t>莎车县基础教育设施设备提升（“优分优育”计划）项目</w:t>
      </w:r>
      <w:r>
        <w:rPr>
          <w:rFonts w:hint="eastAsia" w:ascii="方正仿宋_GBK" w:hAnsi="方正仿宋_GBK" w:eastAsia="方正仿宋_GBK" w:cs="方正仿宋_GBK"/>
          <w:b w:val="0"/>
          <w:bCs/>
          <w:color w:val="auto"/>
          <w:sz w:val="32"/>
          <w:szCs w:val="32"/>
          <w:shd w:val="clear" w:color="auto" w:fill="auto"/>
        </w:rPr>
        <w:t>开展了绩效评价工作并形成绩效评价报告，评价情况如下：</w:t>
      </w:r>
    </w:p>
    <w:p>
      <w:pPr>
        <w:keepNext/>
        <w:keepLines/>
        <w:widowControl w:val="0"/>
        <w:bidi w:val="0"/>
        <w:spacing w:beforeLines="0" w:beforeAutospacing="0" w:afterLines="0" w:afterAutospacing="0" w:line="620" w:lineRule="exact"/>
        <w:ind w:firstLine="640" w:firstLineChars="200"/>
        <w:jc w:val="both"/>
        <w:outlineLvl w:val="0"/>
        <w:rPr>
          <w:rFonts w:hint="default" w:ascii="Times New Roman" w:hAnsi="Times New Roman" w:eastAsia="方正黑体_GBK" w:cs="方正黑体_GBK"/>
          <w:kern w:val="44"/>
          <w:sz w:val="32"/>
          <w:szCs w:val="32"/>
          <w:lang w:val="en-US" w:eastAsia="zh-CN" w:bidi="ar-SA"/>
        </w:rPr>
      </w:pPr>
      <w:bookmarkStart w:id="4" w:name="_Toc21133"/>
      <w:bookmarkStart w:id="5" w:name="_Toc27369"/>
      <w:bookmarkStart w:id="6" w:name="_Toc22169"/>
      <w:bookmarkStart w:id="7" w:name="_Toc3996"/>
      <w:bookmarkStart w:id="8" w:name="_Toc10298"/>
      <w:bookmarkStart w:id="9" w:name="_Toc29772"/>
      <w:bookmarkStart w:id="10" w:name="_Toc7130"/>
      <w:bookmarkStart w:id="11" w:name="_Toc20262"/>
      <w:r>
        <w:rPr>
          <w:rFonts w:hint="eastAsia" w:ascii="Times New Roman" w:hAnsi="Times New Roman" w:eastAsia="方正黑体_GBK" w:cs="方正黑体_GBK"/>
          <w:kern w:val="44"/>
          <w:sz w:val="32"/>
          <w:szCs w:val="32"/>
          <w:lang w:val="en-US" w:eastAsia="zh-CN" w:bidi="ar-SA"/>
        </w:rPr>
        <w:t>一、</w:t>
      </w:r>
      <w:r>
        <w:rPr>
          <w:rFonts w:hint="default" w:ascii="Times New Roman" w:hAnsi="Times New Roman" w:eastAsia="方正黑体_GBK" w:cs="方正黑体_GBK"/>
          <w:kern w:val="44"/>
          <w:sz w:val="32"/>
          <w:szCs w:val="32"/>
          <w:lang w:val="en-US" w:eastAsia="zh-CN" w:bidi="ar-SA"/>
        </w:rPr>
        <w:t>项目概述</w:t>
      </w:r>
      <w:bookmarkEnd w:id="4"/>
      <w:bookmarkEnd w:id="5"/>
      <w:bookmarkEnd w:id="6"/>
      <w:bookmarkEnd w:id="7"/>
      <w:bookmarkEnd w:id="8"/>
      <w:bookmarkEnd w:id="9"/>
      <w:bookmarkEnd w:id="10"/>
      <w:bookmarkEnd w:id="11"/>
    </w:p>
    <w:p>
      <w:pPr>
        <w:widowControl w:val="0"/>
        <w:bidi w:val="0"/>
        <w:spacing w:line="620" w:lineRule="exact"/>
        <w:ind w:left="0" w:firstLine="643" w:firstLineChars="200"/>
        <w:jc w:val="both"/>
        <w:outlineLvl w:val="1"/>
        <w:rPr>
          <w:rFonts w:hint="default" w:ascii="Times New Roman" w:hAnsi="Times New Roman" w:eastAsia="方正楷体_GBK" w:cs="方正楷体_GBK"/>
          <w:b/>
          <w:bCs/>
          <w:kern w:val="2"/>
          <w:sz w:val="32"/>
          <w:szCs w:val="32"/>
          <w:lang w:val="zh-CN" w:eastAsia="zh-CN" w:bidi="zh-CN"/>
        </w:rPr>
      </w:pPr>
      <w:bookmarkStart w:id="12" w:name="_Toc13290"/>
      <w:bookmarkStart w:id="13" w:name="_Toc22119"/>
      <w:bookmarkStart w:id="14" w:name="_Toc24910"/>
      <w:bookmarkStart w:id="15" w:name="_Toc31917"/>
      <w:bookmarkStart w:id="16" w:name="_Toc2324"/>
      <w:bookmarkStart w:id="17" w:name="_Toc11445"/>
      <w:bookmarkStart w:id="18" w:name="_Toc8694"/>
      <w:bookmarkStart w:id="19" w:name="_Toc8849"/>
      <w:r>
        <w:rPr>
          <w:rFonts w:hint="eastAsia" w:ascii="Times New Roman" w:hAnsi="Times New Roman" w:eastAsia="方正楷体_GBK" w:cs="方正楷体_GBK"/>
          <w:b/>
          <w:bCs/>
          <w:kern w:val="2"/>
          <w:sz w:val="32"/>
          <w:szCs w:val="32"/>
          <w:lang w:val="zh-CN" w:eastAsia="zh-CN" w:bidi="zh-CN"/>
        </w:rPr>
        <w:t>（一）</w:t>
      </w:r>
      <w:r>
        <w:rPr>
          <w:rFonts w:hint="default" w:ascii="Times New Roman" w:hAnsi="Times New Roman" w:eastAsia="方正楷体_GBK" w:cs="方正楷体_GBK"/>
          <w:b/>
          <w:bCs/>
          <w:kern w:val="2"/>
          <w:sz w:val="32"/>
          <w:szCs w:val="32"/>
          <w:lang w:val="zh-CN" w:eastAsia="zh-CN" w:bidi="zh-CN"/>
        </w:rPr>
        <w:t>项目概述</w:t>
      </w:r>
      <w:bookmarkEnd w:id="12"/>
      <w:bookmarkEnd w:id="13"/>
      <w:bookmarkEnd w:id="14"/>
      <w:bookmarkEnd w:id="15"/>
      <w:bookmarkEnd w:id="16"/>
      <w:bookmarkEnd w:id="17"/>
      <w:bookmarkEnd w:id="18"/>
      <w:bookmarkEnd w:id="19"/>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color w:val="auto"/>
          <w:sz w:val="32"/>
          <w:szCs w:val="32"/>
          <w:shd w:val="clear" w:color="auto" w:fill="auto"/>
        </w:rPr>
      </w:pPr>
      <w:r>
        <w:rPr>
          <w:rFonts w:hint="eastAsia" w:ascii="方正仿宋_GBK" w:hAnsi="方正仿宋_GBK" w:eastAsia="方正仿宋_GBK" w:cs="方正仿宋_GBK"/>
          <w:b w:val="0"/>
          <w:bCs/>
          <w:color w:val="auto"/>
          <w:sz w:val="32"/>
          <w:szCs w:val="32"/>
          <w:shd w:val="clear" w:color="auto" w:fill="auto"/>
          <w:lang w:val="en-US" w:eastAsia="zh-CN"/>
        </w:rPr>
        <w:t>受</w:t>
      </w:r>
      <w:r>
        <w:rPr>
          <w:rFonts w:hint="eastAsia" w:ascii="方正仿宋_GBK" w:hAnsi="方正仿宋_GBK" w:eastAsia="方正仿宋_GBK" w:cs="方正仿宋_GBK"/>
          <w:b w:val="0"/>
          <w:bCs/>
          <w:color w:val="auto"/>
          <w:sz w:val="32"/>
          <w:szCs w:val="32"/>
          <w:shd w:val="clear" w:color="auto" w:fill="auto"/>
          <w:lang w:eastAsia="zh-CN"/>
        </w:rPr>
        <w:t>莎车县</w:t>
      </w:r>
      <w:r>
        <w:rPr>
          <w:rFonts w:hint="eastAsia" w:ascii="方正仿宋_GBK" w:hAnsi="方正仿宋_GBK" w:eastAsia="方正仿宋_GBK" w:cs="方正仿宋_GBK"/>
          <w:b w:val="0"/>
          <w:bCs/>
          <w:color w:val="auto"/>
          <w:sz w:val="32"/>
          <w:szCs w:val="32"/>
          <w:shd w:val="clear" w:color="auto" w:fill="auto"/>
        </w:rPr>
        <w:t>财政局委托，新疆鸿晟达信息咨询有限公司对</w:t>
      </w:r>
      <w:r>
        <w:rPr>
          <w:rFonts w:hint="eastAsia" w:ascii="方正仿宋_GBK" w:hAnsi="方正仿宋_GBK" w:eastAsia="方正仿宋_GBK" w:cs="方正仿宋_GBK"/>
          <w:b w:val="0"/>
          <w:bCs/>
          <w:color w:val="auto"/>
          <w:sz w:val="32"/>
          <w:szCs w:val="32"/>
          <w:shd w:val="clear" w:color="auto" w:fill="auto"/>
          <w:lang w:val="en-US" w:eastAsia="zh-CN"/>
        </w:rPr>
        <w:t>2025</w:t>
      </w:r>
      <w:r>
        <w:rPr>
          <w:rFonts w:hint="eastAsia" w:ascii="方正仿宋_GBK" w:hAnsi="方正仿宋_GBK" w:eastAsia="方正仿宋_GBK" w:cs="方正仿宋_GBK"/>
          <w:b w:val="0"/>
          <w:bCs/>
          <w:color w:val="auto"/>
          <w:sz w:val="32"/>
          <w:szCs w:val="32"/>
          <w:shd w:val="clear" w:color="auto" w:fill="auto"/>
        </w:rPr>
        <w:t>年</w:t>
      </w:r>
      <w:r>
        <w:rPr>
          <w:rFonts w:hint="eastAsia" w:ascii="方正仿宋_GBK" w:hAnsi="方正仿宋_GBK" w:eastAsia="方正仿宋_GBK" w:cs="方正仿宋_GBK"/>
          <w:b w:val="0"/>
          <w:bCs/>
          <w:color w:val="auto"/>
          <w:sz w:val="32"/>
          <w:szCs w:val="32"/>
          <w:shd w:val="clear" w:color="auto" w:fill="auto"/>
          <w:lang w:val="en-US" w:eastAsia="zh-CN"/>
        </w:rPr>
        <w:t>莎车县教育局</w:t>
      </w:r>
      <w:r>
        <w:rPr>
          <w:rFonts w:hint="eastAsia" w:ascii="方正仿宋_GBK" w:hAnsi="方正仿宋_GBK" w:eastAsia="方正仿宋_GBK" w:cs="方正仿宋_GBK"/>
          <w:b w:val="0"/>
          <w:bCs/>
          <w:color w:val="auto"/>
          <w:sz w:val="32"/>
          <w:szCs w:val="32"/>
          <w:shd w:val="clear" w:color="auto" w:fill="auto"/>
        </w:rPr>
        <w:t>实施的</w:t>
      </w:r>
      <w:r>
        <w:rPr>
          <w:rFonts w:hint="eastAsia" w:ascii="方正仿宋_GBK" w:hAnsi="方正仿宋_GBK" w:eastAsia="方正仿宋_GBK" w:cs="方正仿宋_GBK"/>
          <w:b w:val="0"/>
          <w:bCs/>
          <w:color w:val="auto"/>
          <w:sz w:val="32"/>
          <w:szCs w:val="32"/>
          <w:shd w:val="clear" w:color="auto" w:fill="auto"/>
          <w:lang w:val="en-US" w:eastAsia="zh-CN"/>
        </w:rPr>
        <w:t>莎车县基础教育设施设备提升（“优分优育”计划）项目</w:t>
      </w:r>
      <w:r>
        <w:rPr>
          <w:rFonts w:hint="eastAsia" w:ascii="方正仿宋_GBK" w:hAnsi="方正仿宋_GBK" w:eastAsia="方正仿宋_GBK" w:cs="方正仿宋_GBK"/>
          <w:b w:val="0"/>
          <w:bCs/>
          <w:color w:val="auto"/>
          <w:sz w:val="32"/>
          <w:szCs w:val="32"/>
          <w:shd w:val="clear" w:color="auto" w:fill="auto"/>
        </w:rPr>
        <w:t>开展了绩效评价工作并形成绩效评价报告，评价情况如下：</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9"/>
        <w:rPr>
          <w:rFonts w:hint="eastAsia" w:ascii="方正仿宋_GBK" w:hAnsi="方正仿宋_GBK" w:eastAsia="方正仿宋_GBK" w:cs="方正仿宋_GBK"/>
          <w:b w:val="0"/>
          <w:bCs/>
          <w:color w:val="auto"/>
          <w:sz w:val="32"/>
          <w:szCs w:val="32"/>
          <w:shd w:val="clear" w:color="auto" w:fill="auto"/>
        </w:rPr>
      </w:pPr>
      <w:r>
        <w:rPr>
          <w:rFonts w:hint="eastAsia" w:ascii="方正仿宋_GBK" w:hAnsi="方正仿宋_GBK" w:eastAsia="方正仿宋_GBK" w:cs="方正仿宋_GBK"/>
          <w:b w:val="0"/>
          <w:bCs/>
          <w:color w:val="auto"/>
          <w:sz w:val="32"/>
          <w:szCs w:val="32"/>
          <w:shd w:val="clear" w:color="auto" w:fill="auto"/>
        </w:rPr>
        <w:t>项目名称：</w:t>
      </w:r>
      <w:r>
        <w:rPr>
          <w:rFonts w:hint="eastAsia" w:ascii="方正仿宋_GBK" w:hAnsi="方正仿宋_GBK" w:eastAsia="方正仿宋_GBK" w:cs="方正仿宋_GBK"/>
          <w:b w:val="0"/>
          <w:bCs/>
          <w:color w:val="auto"/>
          <w:sz w:val="32"/>
          <w:szCs w:val="32"/>
          <w:shd w:val="clear" w:color="auto" w:fill="auto"/>
          <w:lang w:val="en-US" w:eastAsia="zh-CN"/>
        </w:rPr>
        <w:t>莎车县基础教育设施设备提升（“优分优育”计划）项目（</w:t>
      </w:r>
      <w:r>
        <w:rPr>
          <w:rFonts w:hint="eastAsia" w:ascii="方正仿宋_GBK" w:hAnsi="方正仿宋_GBK" w:eastAsia="方正仿宋_GBK" w:cs="方正仿宋_GBK"/>
          <w:b w:val="0"/>
          <w:bCs/>
          <w:color w:val="auto"/>
          <w:sz w:val="32"/>
          <w:szCs w:val="32"/>
          <w:shd w:val="clear" w:color="auto" w:fill="auto"/>
        </w:rPr>
        <w:t>以下简称“该项目”或“项目”</w:t>
      </w:r>
      <w:r>
        <w:rPr>
          <w:rFonts w:hint="eastAsia" w:ascii="方正仿宋_GBK" w:hAnsi="方正仿宋_GBK" w:eastAsia="方正仿宋_GBK" w:cs="方正仿宋_GBK"/>
          <w:b w:val="0"/>
          <w:bCs/>
          <w:color w:val="auto"/>
          <w:sz w:val="32"/>
          <w:szCs w:val="32"/>
          <w:shd w:val="clear" w:color="auto" w:fill="auto"/>
          <w:lang w:eastAsia="zh-CN"/>
        </w:rPr>
        <w:t>）</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20" w:name="_Toc29239"/>
      <w:bookmarkStart w:id="21" w:name="_Toc16474"/>
      <w:r>
        <w:rPr>
          <w:rFonts w:hint="eastAsia" w:ascii="方正仿宋简体" w:hAnsi="方正仿宋简体" w:eastAsia="方正仿宋简体" w:cs="方正仿宋简体"/>
          <w:b w:val="0"/>
          <w:bCs/>
          <w:color w:val="auto"/>
          <w:sz w:val="32"/>
          <w:szCs w:val="32"/>
          <w:shd w:val="clear" w:color="auto" w:fill="auto"/>
        </w:rPr>
        <w:t>项目背景：</w:t>
      </w:r>
      <w:r>
        <w:rPr>
          <w:rFonts w:hint="eastAsia" w:ascii="方正仿宋_GBK" w:hAnsi="方正仿宋_GBK" w:eastAsia="方正仿宋_GBK" w:cs="方正仿宋_GBK"/>
          <w:b w:val="0"/>
          <w:bCs/>
          <w:color w:val="auto"/>
          <w:spacing w:val="-1"/>
          <w:sz w:val="32"/>
          <w:szCs w:val="32"/>
          <w:shd w:val="clear" w:color="auto" w:fill="auto"/>
          <w:lang w:val="en-US" w:eastAsia="zh-CN"/>
        </w:rPr>
        <w:t>该项目以习近平新时代中国特色社会主义思想为指导，以铸牢中华民族共同体意识为主线，坚持为党育人、为国育才，全面贯彻党的教育方针，落实立德树人根本任务，发展素质教育，促进教育均衡发展，严格遵循中共中央办公厅、国务院办公厅印发的《关于构建优质均衡的基本公共教育服务体系的意见》《关于实施新时代基础教育扩优提质行动计划的意见》（教基〔2023〕4号）等国家层面政策要求，以及新疆维吾尔自治区党委办公厅、新疆维吾尔自治区人民政府办公厅印发的《关于构建优质均衡的基本公共教育服务体系的实施方案》《新疆维吾尔自治区儿童发展规划（2021—2025年）》等自治区相关部署，立足莎车县教育发展实际推进实施。莎车县作为喀什地区教育大县，义务教育阶段学生规模大、教育资源分布不均衡，部分学校信息化教学设施滞后、优质教育资源供给不足，传统教学模式难以满足新时代学生个性化学习与教师精准化教学的需求，尤其在课后辅导、学业测评、教学教研等环节短板突出，与国家教育数字化战略行动、自治区义务教育优质均衡发展的要求存在差距，制约着区域教育质量的整体提升。</w:t>
      </w:r>
      <w:bookmarkEnd w:id="20"/>
      <w:bookmarkEnd w:id="2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22" w:name="_Toc20608"/>
      <w:bookmarkStart w:id="23" w:name="_Toc19299"/>
      <w:r>
        <w:rPr>
          <w:rFonts w:hint="eastAsia" w:ascii="方正仿宋_GBK" w:hAnsi="方正仿宋_GBK" w:eastAsia="方正仿宋_GBK" w:cs="方正仿宋_GBK"/>
          <w:b w:val="0"/>
          <w:bCs/>
          <w:color w:val="auto"/>
          <w:spacing w:val="-1"/>
          <w:sz w:val="32"/>
          <w:szCs w:val="32"/>
          <w:shd w:val="clear" w:color="auto" w:fill="auto"/>
          <w:lang w:val="en-US" w:eastAsia="zh-CN"/>
        </w:rPr>
        <w:t>为深入贯彻国家、自治区关于推进教育数字化转型、促进义务教育优质均衡发展的决策部署，落实《“十四五”数字教育发展规划》《乡村振兴促进法》及自治区深化沪疆对口援疆协作有关要求，持续深化上海援疆“组团式”教育帮扶成效，切实提升莎车县义务教育教学质量与信息化办学水平，依据《莎车县基础教育设施设备提升（“优分优育”计划）项目实施方案的批复》（莎发改〔2025〕320号），结合莎车县国民经济和社会发展、教育事业发展及上海对口援疆“十四五”规划，经充分调研与可行性论证，依托上海援疆资金，启动实施本项目。本项目总投入150万元，全部为援疆资金，聚焦莎车县全学段“优分优育”建设目标，通过引入智慧教育软件服务系统、打造县域智慧校园平台，全面赋能教育教学全流程，切实补齐县域教育短板。</w:t>
      </w:r>
      <w:bookmarkEnd w:id="22"/>
      <w:bookmarkEnd w:id="2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24" w:name="_Toc3739"/>
      <w:bookmarkStart w:id="25" w:name="_Toc11603"/>
      <w:r>
        <w:rPr>
          <w:rFonts w:hint="eastAsia" w:ascii="方正仿宋_GBK" w:hAnsi="方正仿宋_GBK" w:eastAsia="方正仿宋_GBK" w:cs="方正仿宋_GBK"/>
          <w:b w:val="0"/>
          <w:bCs/>
          <w:color w:val="auto"/>
          <w:spacing w:val="-1"/>
          <w:sz w:val="32"/>
          <w:szCs w:val="32"/>
          <w:shd w:val="clear" w:color="auto" w:fill="auto"/>
          <w:lang w:val="en-US" w:eastAsia="zh-CN"/>
        </w:rPr>
        <w:t>该项目的实施，既是落实国家教育数字化战略行动、推进义务教育优质均衡发展的重要举措，也是深化沪疆教育协作、助力莎车县教育提质增效的关键抓手，更是践行自治区教育发展部署、落实县级项目批复要求的具体行动。项目落地后，可有效补齐县域基础教育信息化短板，优化教学资源配置，创新教学模式，提升教师信息化教学能力，减轻学生学业负担，全面提升学校教学质量，满足受益师生对优质教育的需求，为莎车县教育事业高质量发展注入新动能，助力阻断贫困代际传递、服务乡村振兴战略，推动国家、自治区及县级相关教育政策在莎车县落地生根、见行见效。</w:t>
      </w:r>
      <w:bookmarkEnd w:id="24"/>
      <w:bookmarkEnd w:id="25"/>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640" w:firstLineChars="200"/>
        <w:jc w:val="left"/>
        <w:rPr>
          <w:rFonts w:hint="eastAsia" w:ascii="方正仿宋_GBK" w:hAnsi="方正仿宋_GBK" w:eastAsia="方正仿宋_GBK" w:cs="方正仿宋_GBK"/>
          <w:b w:val="0"/>
          <w:bCs/>
          <w:color w:val="auto"/>
          <w:sz w:val="32"/>
          <w:szCs w:val="32"/>
          <w:shd w:val="clear" w:color="auto" w:fill="auto"/>
          <w:lang w:val="en-US" w:eastAsia="zh-CN"/>
        </w:rPr>
      </w:pPr>
      <w:r>
        <w:rPr>
          <w:rFonts w:hint="eastAsia" w:ascii="方正仿宋_GBK" w:hAnsi="方正仿宋_GBK" w:eastAsia="方正仿宋_GBK" w:cs="方正仿宋_GBK"/>
          <w:b w:val="0"/>
          <w:bCs/>
          <w:color w:val="auto"/>
          <w:sz w:val="32"/>
          <w:szCs w:val="32"/>
          <w:shd w:val="clear" w:color="auto" w:fill="auto"/>
        </w:rPr>
        <w:t>项目内容：</w:t>
      </w:r>
      <w:r>
        <w:rPr>
          <w:rFonts w:hint="eastAsia" w:ascii="方正仿宋_GBK" w:hAnsi="方正仿宋_GBK" w:eastAsia="方正仿宋_GBK" w:cs="方正仿宋_GBK"/>
          <w:b w:val="0"/>
          <w:bCs/>
          <w:color w:val="auto"/>
          <w:sz w:val="32"/>
          <w:szCs w:val="32"/>
          <w:shd w:val="clear" w:color="auto" w:fill="auto"/>
          <w:lang w:val="en-US" w:eastAsia="zh-CN"/>
        </w:rPr>
        <w:t>2025年安排援疆资金150万元。为持续深化上海援建喀什地区莎车县义务教育全阶段“优分优育”项目建设，通过应用“数字智能考阅系统”在莎车高级中学不断提升数字化赋能教育质量的应用价值，规划2025年度学年系统应用服务工作计划，覆盖8所学校，采购部署智慧教育软件服务系统1套。备授课数字一体化平台服务费80万元，数字智能考阅支持服务费35万元，高质量作业支持服务费20万元，数据分析支持服务费15万元。搭建莎车县智慧校园平台，通过数字化技术全面赋能教育教学场景，邀请上海资深优秀教师举办线上教师高考冲刺教学方法培训及研讨。</w:t>
      </w:r>
    </w:p>
    <w:p>
      <w:pPr>
        <w:widowControl w:val="0"/>
        <w:numPr>
          <w:ilvl w:val="0"/>
          <w:numId w:val="1"/>
        </w:numPr>
        <w:bidi w:val="0"/>
        <w:spacing w:line="620" w:lineRule="exact"/>
        <w:ind w:left="197" w:firstLine="643" w:firstLineChars="200"/>
        <w:jc w:val="both"/>
        <w:outlineLvl w:val="1"/>
        <w:rPr>
          <w:rFonts w:hint="default" w:ascii="Times New Roman" w:hAnsi="Times New Roman" w:eastAsia="方正楷体_GBK" w:cs="方正楷体_GBK"/>
          <w:b/>
          <w:bCs/>
          <w:kern w:val="2"/>
          <w:sz w:val="32"/>
          <w:szCs w:val="32"/>
          <w:lang w:val="zh-CN" w:eastAsia="zh-CN" w:bidi="zh-CN"/>
        </w:rPr>
      </w:pPr>
      <w:bookmarkStart w:id="26" w:name="_Toc7128"/>
      <w:bookmarkStart w:id="27" w:name="_Toc18640"/>
      <w:bookmarkStart w:id="28" w:name="_Toc23456"/>
      <w:bookmarkStart w:id="29" w:name="_Toc5325"/>
      <w:bookmarkStart w:id="30" w:name="_Toc8102"/>
      <w:bookmarkStart w:id="31" w:name="_Toc31629"/>
      <w:bookmarkStart w:id="32" w:name="_Toc27650"/>
      <w:bookmarkStart w:id="33" w:name="_Toc25598"/>
      <w:r>
        <w:rPr>
          <w:rFonts w:hint="default" w:ascii="Times New Roman" w:hAnsi="Times New Roman" w:eastAsia="方正楷体_GBK" w:cs="方正楷体_GBK"/>
          <w:b/>
          <w:bCs/>
          <w:kern w:val="2"/>
          <w:sz w:val="32"/>
          <w:szCs w:val="32"/>
          <w:lang w:val="zh-CN" w:eastAsia="zh-CN" w:bidi="zh-CN"/>
        </w:rPr>
        <w:t>项目实施情况</w:t>
      </w:r>
      <w:bookmarkEnd w:id="26"/>
      <w:bookmarkEnd w:id="27"/>
      <w:bookmarkEnd w:id="28"/>
      <w:bookmarkEnd w:id="29"/>
      <w:bookmarkEnd w:id="30"/>
      <w:bookmarkEnd w:id="31"/>
      <w:bookmarkEnd w:id="32"/>
      <w:bookmarkEnd w:id="33"/>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960" w:firstLineChars="300"/>
        <w:textAlignment w:val="auto"/>
        <w:outlineLvl w:val="9"/>
        <w:rPr>
          <w:rFonts w:hint="eastAsia" w:ascii="方正仿宋_GBK" w:hAnsi="方正仿宋_GBK" w:eastAsia="方正仿宋_GBK" w:cs="方正仿宋_GBK"/>
          <w:b w:val="0"/>
          <w:bCs/>
          <w:color w:val="auto"/>
          <w:sz w:val="32"/>
          <w:szCs w:val="32"/>
          <w:shd w:val="clear" w:color="auto" w:fill="auto"/>
        </w:rPr>
      </w:pPr>
      <w:r>
        <w:rPr>
          <w:rFonts w:hint="eastAsia" w:ascii="方正仿宋_GBK" w:hAnsi="方正仿宋_GBK" w:eastAsia="方正仿宋_GBK" w:cs="方正仿宋_GBK"/>
          <w:b w:val="0"/>
          <w:bCs/>
          <w:color w:val="auto"/>
          <w:sz w:val="32"/>
          <w:szCs w:val="32"/>
          <w:shd w:val="clear" w:color="auto" w:fill="auto"/>
        </w:rPr>
        <w:t>该项目预算资金总额为150万元，其中：财政资金0万元，其他资金150万元；实际到位资金150万元（其中财政资金0万元、援疆资金150万元），资金到位率100%；实际支出149.59万元，预算执行率</w:t>
      </w:r>
      <w:r>
        <w:rPr>
          <w:rFonts w:hint="eastAsia" w:ascii="方正仿宋_GBK" w:hAnsi="方正仿宋_GBK" w:eastAsia="方正仿宋_GBK" w:cs="方正仿宋_GBK"/>
          <w:b w:val="0"/>
          <w:bCs/>
          <w:color w:val="auto"/>
          <w:sz w:val="32"/>
          <w:szCs w:val="32"/>
          <w:shd w:val="clear" w:color="auto" w:fill="auto"/>
          <w:lang w:eastAsia="zh-CN"/>
        </w:rPr>
        <w:t>99.73%</w:t>
      </w:r>
      <w:r>
        <w:rPr>
          <w:rFonts w:hint="eastAsia" w:ascii="方正仿宋_GBK" w:hAnsi="方正仿宋_GBK" w:eastAsia="方正仿宋_GBK" w:cs="方正仿宋_GBK"/>
          <w:b w:val="0"/>
          <w:bCs/>
          <w:color w:val="auto"/>
          <w:sz w:val="32"/>
          <w:szCs w:val="32"/>
          <w:shd w:val="clear" w:color="auto" w:fill="auto"/>
        </w:rPr>
        <w:t>。资金主要用于对8所学校引入智慧教育软件服务系统。</w:t>
      </w:r>
    </w:p>
    <w:p>
      <w:pPr>
        <w:widowControl w:val="0"/>
        <w:bidi w:val="0"/>
        <w:spacing w:line="620" w:lineRule="exact"/>
        <w:ind w:firstLine="643" w:firstLineChars="200"/>
        <w:jc w:val="both"/>
        <w:outlineLvl w:val="1"/>
        <w:rPr>
          <w:rFonts w:hint="default" w:ascii="Times New Roman" w:hAnsi="Times New Roman" w:eastAsia="方正楷体_GBK" w:cs="方正楷体_GBK"/>
          <w:b/>
          <w:bCs/>
          <w:kern w:val="2"/>
          <w:sz w:val="32"/>
          <w:szCs w:val="32"/>
          <w:lang w:val="zh-CN" w:eastAsia="zh-CN" w:bidi="zh-CN"/>
        </w:rPr>
      </w:pPr>
      <w:bookmarkStart w:id="34" w:name="_Toc9190"/>
      <w:bookmarkStart w:id="35" w:name="_Toc16944"/>
      <w:bookmarkStart w:id="36" w:name="_Toc20371"/>
      <w:bookmarkStart w:id="37" w:name="_Toc20354"/>
      <w:bookmarkStart w:id="38" w:name="_Toc30234"/>
      <w:bookmarkStart w:id="39" w:name="_Toc9321"/>
      <w:bookmarkStart w:id="40" w:name="_Toc22511"/>
      <w:bookmarkStart w:id="41" w:name="_Toc3105"/>
      <w:r>
        <w:rPr>
          <w:rFonts w:hint="default" w:ascii="Times New Roman" w:hAnsi="Times New Roman" w:eastAsia="方正楷体_GBK" w:cs="方正楷体_GBK"/>
          <w:b/>
          <w:bCs/>
          <w:kern w:val="2"/>
          <w:sz w:val="32"/>
          <w:szCs w:val="32"/>
          <w:lang w:val="zh-CN" w:eastAsia="zh-CN" w:bidi="zh-CN"/>
        </w:rPr>
        <w:t>（三）绩效目标</w:t>
      </w:r>
      <w:bookmarkEnd w:id="34"/>
      <w:bookmarkEnd w:id="35"/>
      <w:bookmarkEnd w:id="36"/>
      <w:bookmarkEnd w:id="37"/>
      <w:bookmarkEnd w:id="38"/>
      <w:bookmarkEnd w:id="39"/>
      <w:bookmarkEnd w:id="40"/>
      <w:bookmarkEnd w:id="41"/>
    </w:p>
    <w:p>
      <w:pPr>
        <w:keepNext/>
        <w:keepLines/>
        <w:widowControl w:val="0"/>
        <w:bidi w:val="0"/>
        <w:spacing w:beforeLines="0" w:beforeAutospacing="0" w:afterLines="0" w:afterAutospacing="0" w:line="560" w:lineRule="exact"/>
        <w:ind w:firstLine="643" w:firstLineChars="200"/>
        <w:jc w:val="both"/>
        <w:outlineLvl w:val="2"/>
        <w:rPr>
          <w:rFonts w:hint="default" w:ascii="Times New Roman" w:hAnsi="Times New Roman" w:eastAsia="方正仿宋简体" w:cs="方正仿宋简体"/>
          <w:b/>
          <w:bCs/>
          <w:kern w:val="2"/>
          <w:sz w:val="32"/>
          <w:szCs w:val="32"/>
          <w:lang w:val="en-US" w:eastAsia="zh-CN" w:bidi="ar-SA"/>
        </w:rPr>
      </w:pPr>
      <w:r>
        <w:rPr>
          <w:rFonts w:hint="default" w:ascii="Times New Roman" w:hAnsi="Times New Roman" w:eastAsia="方正仿宋简体" w:cs="方正仿宋简体"/>
          <w:b/>
          <w:bCs/>
          <w:kern w:val="2"/>
          <w:sz w:val="32"/>
          <w:szCs w:val="32"/>
          <w:lang w:val="en-US" w:eastAsia="zh-CN" w:bidi="ar-SA"/>
        </w:rPr>
        <w:t>1.总目标</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ar-SA"/>
        </w:rPr>
      </w:pPr>
      <w:bookmarkStart w:id="42" w:name="_Toc10529"/>
      <w:r>
        <w:rPr>
          <w:rFonts w:hint="eastAsia" w:ascii="方正仿宋_GBK" w:hAnsi="方正仿宋_GBK" w:eastAsia="方正仿宋_GBK" w:cs="方正仿宋_GBK"/>
          <w:b w:val="0"/>
          <w:bCs w:val="0"/>
          <w:color w:val="auto"/>
          <w:kern w:val="0"/>
          <w:sz w:val="32"/>
          <w:szCs w:val="32"/>
          <w:shd w:val="clear" w:color="auto" w:fill="auto"/>
          <w:lang w:val="en-US" w:eastAsia="zh-CN" w:bidi="ar-SA"/>
        </w:rPr>
        <w:t>依托上海援建资金，搭建莎车县智慧校园数字化教学平台，引入优质教学服务并开展教师能力培训，赋能教育教学提质增效，规范资金与项目管理，提升莎车县基础教育教学质量，促进教育公平，落实立德树人根本任务。</w:t>
      </w:r>
      <w:bookmarkEnd w:id="42"/>
    </w:p>
    <w:p>
      <w:pPr>
        <w:keepNext/>
        <w:keepLines/>
        <w:widowControl w:val="0"/>
        <w:bidi w:val="0"/>
        <w:spacing w:beforeLines="0" w:beforeAutospacing="0" w:afterLines="0" w:afterAutospacing="0" w:line="560" w:lineRule="exact"/>
        <w:ind w:firstLine="643" w:firstLineChars="200"/>
        <w:jc w:val="both"/>
        <w:outlineLvl w:val="2"/>
        <w:rPr>
          <w:rFonts w:hint="default" w:ascii="Times New Roman" w:hAnsi="Times New Roman" w:eastAsia="方正仿宋简体" w:cs="方正仿宋简体"/>
          <w:b/>
          <w:bCs/>
          <w:kern w:val="2"/>
          <w:sz w:val="32"/>
          <w:szCs w:val="32"/>
          <w:lang w:val="en-US" w:eastAsia="zh-CN" w:bidi="ar-SA"/>
        </w:rPr>
      </w:pPr>
      <w:r>
        <w:rPr>
          <w:rFonts w:hint="eastAsia" w:ascii="Times New Roman" w:hAnsi="Times New Roman" w:eastAsia="方正仿宋简体" w:cs="方正仿宋简体"/>
          <w:b/>
          <w:bCs/>
          <w:kern w:val="2"/>
          <w:sz w:val="32"/>
          <w:szCs w:val="32"/>
          <w:lang w:val="en-US" w:eastAsia="zh-CN" w:bidi="ar-SA"/>
        </w:rPr>
        <w:t>2.</w:t>
      </w:r>
      <w:r>
        <w:rPr>
          <w:rFonts w:hint="default" w:ascii="Times New Roman" w:hAnsi="Times New Roman" w:eastAsia="方正仿宋简体" w:cs="方正仿宋简体"/>
          <w:b/>
          <w:bCs/>
          <w:kern w:val="2"/>
          <w:sz w:val="32"/>
          <w:szCs w:val="32"/>
          <w:lang w:val="en-US" w:eastAsia="zh-CN" w:bidi="ar-SA"/>
        </w:rPr>
        <w:t>年度绩效目标</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ar-SA"/>
        </w:rPr>
      </w:pPr>
      <w:bookmarkStart w:id="43" w:name="_Toc31535"/>
      <w:r>
        <w:rPr>
          <w:rFonts w:hint="eastAsia" w:ascii="方正仿宋_GBK" w:hAnsi="方正仿宋_GBK" w:eastAsia="方正仿宋_GBK" w:cs="方正仿宋_GBK"/>
          <w:b w:val="0"/>
          <w:bCs w:val="0"/>
          <w:color w:val="auto"/>
          <w:kern w:val="0"/>
          <w:sz w:val="32"/>
          <w:szCs w:val="32"/>
          <w:shd w:val="clear" w:color="auto" w:fill="auto"/>
          <w:lang w:val="en-US" w:eastAsia="zh-CN" w:bidi="ar-SA"/>
        </w:rPr>
        <w:t>本阶段依托上海援疆资金完成县域智慧教学服务部署，覆盖8所学校，配套备授课、智能考阅、作业管理、数据分析全套数字化教学工具，同步开展线上教师提升培训。项目各项服务费用控制在预算限额内：备授课数字一体化平台服务费80万元，数字智能考阅支持服务费35万元，高质量作业支持服务费20万元，数据分析支持服务费15万元。2025年底前完成平台搭建并常态化投入教学使用，持续发挥数字化教学提质作用。</w:t>
      </w:r>
      <w:bookmarkEnd w:id="4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44" w:name="_Toc29176"/>
      <w:r>
        <w:rPr>
          <w:rFonts w:hint="eastAsia" w:ascii="方正仿宋简体" w:hAnsi="方正仿宋简体" w:eastAsia="方正仿宋简体" w:cs="方正仿宋简体"/>
          <w:color w:val="auto"/>
          <w:sz w:val="32"/>
          <w:szCs w:val="32"/>
          <w:shd w:val="clear" w:color="auto" w:fill="auto"/>
          <w:lang w:val="en-US" w:eastAsia="zh-CN"/>
        </w:rPr>
        <w:t>（1）</w:t>
      </w:r>
      <w:r>
        <w:rPr>
          <w:rFonts w:hint="default" w:ascii="方正仿宋简体" w:hAnsi="方正仿宋简体" w:eastAsia="方正仿宋简体" w:cs="方正仿宋简体"/>
          <w:color w:val="auto"/>
          <w:sz w:val="32"/>
          <w:szCs w:val="32"/>
          <w:shd w:val="clear" w:color="auto" w:fill="auto"/>
          <w:lang w:val="en-US" w:eastAsia="zh-CN"/>
        </w:rPr>
        <w:t>项目产出目标</w:t>
      </w:r>
      <w:bookmarkEnd w:id="44"/>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产出数量</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引入智慧教育软件服务</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等于1批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涵盖学校数量</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大于等于8所</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产出质量</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智慧教育软件应用率</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等于100%</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产出时效</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各类平台搭建完成时间</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2025年12月</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产出成本</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备授课数字一体化平台服务费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小于等于80万元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数字智能考阅支持服务费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小于等于35万元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高质量作业支持服务费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小于等于20万元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数据分析支持服务费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小于等于15万元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45" w:name="_Toc20529"/>
      <w:r>
        <w:rPr>
          <w:rFonts w:hint="eastAsia" w:ascii="方正仿宋简体" w:hAnsi="方正仿宋简体" w:eastAsia="方正仿宋简体" w:cs="方正仿宋简体"/>
          <w:color w:val="auto"/>
          <w:sz w:val="32"/>
          <w:szCs w:val="32"/>
          <w:shd w:val="clear" w:color="auto" w:fill="auto"/>
          <w:lang w:val="en-US" w:eastAsia="zh-CN"/>
        </w:rPr>
        <w:t>（2）</w:t>
      </w:r>
      <w:r>
        <w:rPr>
          <w:rFonts w:hint="default" w:ascii="方正仿宋简体" w:hAnsi="方正仿宋简体" w:eastAsia="方正仿宋简体" w:cs="方正仿宋简体"/>
          <w:color w:val="auto"/>
          <w:sz w:val="32"/>
          <w:szCs w:val="32"/>
          <w:shd w:val="clear" w:color="auto" w:fill="auto"/>
          <w:lang w:val="en-US" w:eastAsia="zh-CN"/>
        </w:rPr>
        <w:t>项目效益目标</w:t>
      </w:r>
      <w:bookmarkEnd w:id="45"/>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社会效益指标</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提升学校教学质量</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有效提升</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jc w:val="both"/>
        <w:textAlignment w:val="auto"/>
        <w:outlineLvl w:val="2"/>
        <w:rPr>
          <w:rFonts w:hint="eastAsia" w:ascii="方正仿宋简体" w:hAnsi="方正仿宋简体" w:eastAsia="方正仿宋简体" w:cs="方正仿宋简体"/>
          <w:b/>
          <w:bCs/>
          <w:color w:val="auto"/>
          <w:kern w:val="2"/>
          <w:sz w:val="32"/>
          <w:szCs w:val="32"/>
          <w:highlight w:val="none"/>
          <w:shd w:val="clear" w:color="auto" w:fill="auto"/>
          <w:lang w:val="en-US" w:eastAsia="zh-CN" w:bidi="zh-CN"/>
        </w:rPr>
      </w:pPr>
      <w:r>
        <w:rPr>
          <w:rFonts w:hint="eastAsia" w:ascii="方正仿宋简体" w:hAnsi="方正仿宋简体" w:eastAsia="方正仿宋简体" w:cs="方正仿宋简体"/>
          <w:b/>
          <w:bCs/>
          <w:color w:val="auto"/>
          <w:kern w:val="2"/>
          <w:sz w:val="32"/>
          <w:szCs w:val="32"/>
          <w:highlight w:val="none"/>
          <w:shd w:val="clear" w:color="auto" w:fill="auto"/>
          <w:lang w:val="en-US" w:eastAsia="zh-CN" w:bidi="zh-CN"/>
        </w:rPr>
        <w:t>（3）满意度目标</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服务对象满意度指标</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jc w:val="both"/>
        <w:textAlignment w:val="auto"/>
        <w:outlineLvl w:val="2"/>
        <w:rPr>
          <w:rFonts w:hint="eastAsia" w:ascii="方正仿宋_GBK" w:hAnsi="方正仿宋_GBK" w:eastAsia="方正仿宋_GBK" w:cs="方正仿宋_GBK"/>
          <w:b/>
          <w:bCs/>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“受益师生满意度”指标，预期指标值为大于等于95%。</w:t>
      </w:r>
    </w:p>
    <w:p>
      <w:pPr>
        <w:keepNext/>
        <w:keepLines/>
        <w:widowControl w:val="0"/>
        <w:bidi w:val="0"/>
        <w:spacing w:beforeLines="0" w:beforeAutospacing="0" w:afterLines="0" w:afterAutospacing="0" w:line="620" w:lineRule="exact"/>
        <w:ind w:firstLine="640" w:firstLineChars="200"/>
        <w:jc w:val="both"/>
        <w:outlineLvl w:val="0"/>
        <w:rPr>
          <w:rFonts w:hint="default" w:ascii="Times New Roman" w:hAnsi="Times New Roman" w:eastAsia="方正黑体_GBK" w:cs="方正黑体_GBK"/>
          <w:kern w:val="44"/>
          <w:sz w:val="32"/>
          <w:szCs w:val="32"/>
          <w:lang w:val="en-US" w:eastAsia="zh-CN" w:bidi="ar-SA"/>
        </w:rPr>
      </w:pPr>
      <w:bookmarkStart w:id="46" w:name="_Toc8624"/>
      <w:bookmarkStart w:id="47" w:name="_Toc5159"/>
      <w:bookmarkStart w:id="48" w:name="_Toc18208"/>
      <w:bookmarkStart w:id="49" w:name="_Toc14544"/>
      <w:bookmarkStart w:id="50" w:name="_Toc18168"/>
      <w:bookmarkStart w:id="51" w:name="_Toc4471"/>
      <w:bookmarkStart w:id="52" w:name="_Toc3546"/>
      <w:bookmarkStart w:id="53" w:name="_Toc21776"/>
      <w:r>
        <w:rPr>
          <w:rFonts w:hint="default" w:ascii="Times New Roman" w:hAnsi="Times New Roman" w:eastAsia="方正黑体_GBK" w:cs="方正黑体_GBK"/>
          <w:kern w:val="44"/>
          <w:sz w:val="32"/>
          <w:szCs w:val="32"/>
          <w:lang w:val="en-US" w:eastAsia="zh-CN" w:bidi="ar-SA"/>
        </w:rPr>
        <w:t>二、绩效评价情况</w:t>
      </w:r>
      <w:bookmarkEnd w:id="46"/>
      <w:bookmarkEnd w:id="47"/>
      <w:bookmarkEnd w:id="48"/>
      <w:bookmarkEnd w:id="49"/>
      <w:bookmarkEnd w:id="50"/>
      <w:bookmarkEnd w:id="51"/>
      <w:bookmarkEnd w:id="52"/>
      <w:bookmarkEnd w:id="53"/>
    </w:p>
    <w:p>
      <w:pPr>
        <w:widowControl w:val="0"/>
        <w:bidi w:val="0"/>
        <w:spacing w:line="620" w:lineRule="exact"/>
        <w:ind w:left="0" w:firstLine="643" w:firstLineChars="200"/>
        <w:jc w:val="both"/>
        <w:outlineLvl w:val="1"/>
        <w:rPr>
          <w:rFonts w:hint="default" w:ascii="Times New Roman" w:hAnsi="Times New Roman" w:eastAsia="方正楷体_GBK" w:cs="方正楷体_GBK"/>
          <w:b/>
          <w:bCs/>
          <w:kern w:val="2"/>
          <w:sz w:val="32"/>
          <w:szCs w:val="32"/>
          <w:lang w:val="zh-CN" w:eastAsia="zh-CN" w:bidi="zh-CN"/>
        </w:rPr>
      </w:pPr>
      <w:bookmarkStart w:id="54" w:name="_Toc18989"/>
      <w:bookmarkStart w:id="55" w:name="_Toc3780"/>
      <w:bookmarkStart w:id="56" w:name="_Toc7322"/>
      <w:bookmarkStart w:id="57" w:name="_Toc6196"/>
      <w:bookmarkStart w:id="58" w:name="_Toc5479"/>
      <w:bookmarkStart w:id="59" w:name="_Toc16180"/>
      <w:bookmarkStart w:id="60" w:name="_Toc21209"/>
      <w:bookmarkStart w:id="61" w:name="_Toc5421"/>
      <w:r>
        <w:rPr>
          <w:rFonts w:hint="default" w:ascii="Times New Roman" w:hAnsi="Times New Roman" w:eastAsia="方正楷体_GBK" w:cs="方正楷体_GBK"/>
          <w:b/>
          <w:bCs/>
          <w:kern w:val="2"/>
          <w:sz w:val="32"/>
          <w:szCs w:val="32"/>
          <w:lang w:val="zh-CN" w:eastAsia="zh-CN" w:bidi="zh-CN"/>
        </w:rPr>
        <w:t>（一）评价结论</w:t>
      </w:r>
      <w:bookmarkEnd w:id="54"/>
      <w:bookmarkEnd w:id="55"/>
      <w:bookmarkEnd w:id="56"/>
      <w:bookmarkEnd w:id="57"/>
      <w:bookmarkEnd w:id="58"/>
      <w:bookmarkEnd w:id="59"/>
      <w:bookmarkEnd w:id="60"/>
      <w:bookmarkEnd w:id="61"/>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9"/>
        <w:rPr>
          <w:rFonts w:hint="eastAsia" w:ascii="方正仿宋_GBK" w:hAnsi="方正仿宋_GBK" w:eastAsia="方正仿宋_GBK" w:cs="方正仿宋_GBK"/>
          <w:b w:val="0"/>
          <w:bCs/>
          <w:color w:val="auto"/>
          <w:sz w:val="32"/>
          <w:szCs w:val="32"/>
          <w:highlight w:val="none"/>
          <w:shd w:val="clear" w:color="auto" w:fill="auto"/>
          <w:lang w:eastAsia="zh-CN"/>
        </w:rPr>
      </w:pPr>
      <w:r>
        <w:rPr>
          <w:rFonts w:hint="eastAsia" w:ascii="方正仿宋_GBK" w:hAnsi="方正仿宋_GBK" w:eastAsia="方正仿宋_GBK" w:cs="方正仿宋_GBK"/>
          <w:sz w:val="32"/>
          <w:szCs w:val="32"/>
        </w:rPr>
        <w:t>依据《</w:t>
      </w:r>
      <w:r>
        <w:rPr>
          <w:rFonts w:hint="eastAsia" w:ascii="方正仿宋_GBK" w:hAnsi="方正仿宋_GBK" w:eastAsia="方正仿宋_GBK" w:cs="方正仿宋_GBK"/>
          <w:sz w:val="32"/>
          <w:szCs w:val="32"/>
          <w:lang w:eastAsia="zh-CN"/>
        </w:rPr>
        <w:t>中共中央、国务院</w:t>
      </w:r>
      <w:r>
        <w:rPr>
          <w:rFonts w:hint="eastAsia" w:ascii="方正仿宋_GBK" w:hAnsi="方正仿宋_GBK" w:eastAsia="方正仿宋_GBK" w:cs="方正仿宋_GBK"/>
          <w:sz w:val="32"/>
          <w:szCs w:val="32"/>
        </w:rPr>
        <w:t>关于全面实施预算绩效管理的意见》及《关于进一步加强和规范喀什地区项目支出“全过程”预算绩效管理结果应用的通知》（喀地财绩〔2022〕2号）文件，绩效评价总分设置为100分，划分为四档：90（含）-100分为优、80（含）-90分为良、</w:t>
      </w:r>
      <w:r>
        <w:rPr>
          <w:rFonts w:hint="eastAsia" w:ascii="方正仿宋_GBK" w:hAnsi="方正仿宋_GBK" w:eastAsia="方正仿宋_GBK" w:cs="方正仿宋_GBK"/>
          <w:sz w:val="32"/>
          <w:szCs w:val="32"/>
          <w:lang w:val="en-US" w:eastAsia="zh-CN"/>
        </w:rPr>
        <w:t>70</w:t>
      </w:r>
      <w:r>
        <w:rPr>
          <w:rFonts w:hint="eastAsia" w:ascii="方正仿宋_GBK" w:hAnsi="方正仿宋_GBK" w:eastAsia="方正仿宋_GBK" w:cs="方正仿宋_GBK"/>
          <w:sz w:val="32"/>
          <w:szCs w:val="32"/>
        </w:rPr>
        <w:t>（含）-80分为中、</w:t>
      </w:r>
      <w:r>
        <w:rPr>
          <w:rFonts w:hint="eastAsia" w:ascii="方正仿宋_GBK" w:hAnsi="方正仿宋_GBK" w:eastAsia="方正仿宋_GBK" w:cs="方正仿宋_GBK"/>
          <w:sz w:val="32"/>
          <w:szCs w:val="32"/>
          <w:lang w:val="en-US" w:eastAsia="zh-CN"/>
        </w:rPr>
        <w:t>70</w:t>
      </w:r>
      <w:r>
        <w:rPr>
          <w:rFonts w:hint="eastAsia" w:ascii="方正仿宋_GBK" w:hAnsi="方正仿宋_GBK" w:eastAsia="方正仿宋_GBK" w:cs="方正仿宋_GBK"/>
          <w:sz w:val="32"/>
          <w:szCs w:val="32"/>
        </w:rPr>
        <w:t>分以下为差。运用由项目组制订评价指标体系及评分标准，</w:t>
      </w:r>
      <w:r>
        <w:rPr>
          <w:rFonts w:hint="eastAsia" w:ascii="方正仿宋_GBK" w:hAnsi="方正仿宋_GBK" w:eastAsia="方正仿宋_GBK" w:cs="方正仿宋_GBK"/>
          <w:b w:val="0"/>
          <w:bCs/>
          <w:color w:val="auto"/>
          <w:sz w:val="32"/>
          <w:szCs w:val="32"/>
          <w:shd w:val="clear" w:color="auto" w:fill="auto"/>
        </w:rPr>
        <w:t>项目综合得分</w:t>
      </w:r>
      <w:r>
        <w:rPr>
          <w:rFonts w:hint="eastAsia" w:ascii="方正仿宋_GBK" w:hAnsi="方正仿宋_GBK" w:eastAsia="方正仿宋_GBK" w:cs="方正仿宋_GBK"/>
          <w:b w:val="0"/>
          <w:bCs/>
          <w:color w:val="auto"/>
          <w:sz w:val="32"/>
          <w:szCs w:val="32"/>
          <w:shd w:val="clear" w:color="auto" w:fill="auto"/>
          <w:lang w:val="en-US" w:eastAsia="zh-CN"/>
        </w:rPr>
        <w:t>98.47</w:t>
      </w:r>
      <w:r>
        <w:rPr>
          <w:rFonts w:hint="eastAsia" w:ascii="方正仿宋_GBK" w:hAnsi="方正仿宋_GBK" w:eastAsia="方正仿宋_GBK" w:cs="方正仿宋_GBK"/>
          <w:b w:val="0"/>
          <w:bCs/>
          <w:color w:val="auto"/>
          <w:sz w:val="32"/>
          <w:szCs w:val="32"/>
          <w:shd w:val="clear" w:color="auto" w:fill="auto"/>
        </w:rPr>
        <w:t>分，绩效等级为“优”</w:t>
      </w:r>
      <w:r>
        <w:rPr>
          <w:rFonts w:hint="eastAsia" w:ascii="方正仿宋_GBK" w:hAnsi="方正仿宋_GBK" w:eastAsia="方正仿宋_GBK" w:cs="方正仿宋_GBK"/>
          <w:b w:val="0"/>
          <w:bCs/>
          <w:color w:val="auto"/>
          <w:sz w:val="32"/>
          <w:szCs w:val="32"/>
          <w:highlight w:val="none"/>
          <w:shd w:val="clear" w:color="auto" w:fill="auto"/>
          <w:lang w:eastAsia="zh-CN"/>
        </w:rPr>
        <w:t>，其中，项目决策类指标权重</w:t>
      </w:r>
      <w:r>
        <w:rPr>
          <w:rFonts w:hint="eastAsia" w:ascii="方正仿宋_GBK" w:hAnsi="方正仿宋_GBK" w:eastAsia="方正仿宋_GBK" w:cs="方正仿宋_GBK"/>
          <w:b w:val="0"/>
          <w:bCs/>
          <w:color w:val="auto"/>
          <w:sz w:val="32"/>
          <w:szCs w:val="32"/>
          <w:highlight w:val="none"/>
          <w:shd w:val="clear" w:color="auto" w:fill="auto"/>
          <w:lang w:val="en-US" w:eastAsia="zh-CN"/>
        </w:rPr>
        <w:t>20</w:t>
      </w:r>
      <w:r>
        <w:rPr>
          <w:rFonts w:hint="eastAsia" w:ascii="方正仿宋_GBK" w:hAnsi="方正仿宋_GBK" w:eastAsia="方正仿宋_GBK" w:cs="方正仿宋_GBK"/>
          <w:b w:val="0"/>
          <w:bCs/>
          <w:color w:val="auto"/>
          <w:sz w:val="32"/>
          <w:szCs w:val="32"/>
          <w:highlight w:val="none"/>
          <w:shd w:val="clear" w:color="auto" w:fill="auto"/>
          <w:lang w:eastAsia="zh-CN"/>
        </w:rPr>
        <w:t>分，得分</w:t>
      </w:r>
      <w:r>
        <w:rPr>
          <w:rFonts w:hint="eastAsia" w:ascii="方正仿宋_GBK" w:hAnsi="方正仿宋_GBK" w:eastAsia="方正仿宋_GBK" w:cs="方正仿宋_GBK"/>
          <w:b w:val="0"/>
          <w:bCs/>
          <w:color w:val="auto"/>
          <w:sz w:val="32"/>
          <w:szCs w:val="32"/>
          <w:highlight w:val="none"/>
          <w:shd w:val="clear" w:color="auto" w:fill="auto"/>
          <w:lang w:val="en-US" w:eastAsia="zh-CN"/>
        </w:rPr>
        <w:t>20</w:t>
      </w:r>
      <w:r>
        <w:rPr>
          <w:rFonts w:hint="eastAsia" w:ascii="方正仿宋_GBK" w:hAnsi="方正仿宋_GBK" w:eastAsia="方正仿宋_GBK" w:cs="方正仿宋_GBK"/>
          <w:b w:val="0"/>
          <w:bCs/>
          <w:color w:val="auto"/>
          <w:sz w:val="32"/>
          <w:szCs w:val="32"/>
          <w:highlight w:val="none"/>
          <w:shd w:val="clear" w:color="auto" w:fill="auto"/>
          <w:lang w:eastAsia="zh-CN"/>
        </w:rPr>
        <w:t>分，得分率</w:t>
      </w:r>
      <w:r>
        <w:rPr>
          <w:rFonts w:hint="eastAsia" w:ascii="方正仿宋_GBK" w:hAnsi="方正仿宋_GBK" w:eastAsia="方正仿宋_GBK" w:cs="方正仿宋_GBK"/>
          <w:b w:val="0"/>
          <w:bCs/>
          <w:color w:val="auto"/>
          <w:sz w:val="32"/>
          <w:szCs w:val="32"/>
          <w:highlight w:val="none"/>
          <w:shd w:val="clear" w:color="auto" w:fill="auto"/>
          <w:lang w:val="en-US" w:eastAsia="zh-CN"/>
        </w:rPr>
        <w:t>100%</w:t>
      </w:r>
      <w:r>
        <w:rPr>
          <w:rFonts w:hint="eastAsia" w:ascii="方正仿宋_GBK" w:hAnsi="方正仿宋_GBK" w:eastAsia="方正仿宋_GBK" w:cs="方正仿宋_GBK"/>
          <w:b w:val="0"/>
          <w:bCs/>
          <w:color w:val="auto"/>
          <w:sz w:val="32"/>
          <w:szCs w:val="32"/>
          <w:highlight w:val="none"/>
          <w:shd w:val="clear" w:color="auto" w:fill="auto"/>
          <w:lang w:eastAsia="zh-CN"/>
        </w:rPr>
        <w:t>；项目管理类指标权重</w:t>
      </w:r>
      <w:r>
        <w:rPr>
          <w:rFonts w:hint="eastAsia" w:ascii="方正仿宋_GBK" w:hAnsi="方正仿宋_GBK" w:eastAsia="方正仿宋_GBK" w:cs="方正仿宋_GBK"/>
          <w:b w:val="0"/>
          <w:bCs/>
          <w:color w:val="auto"/>
          <w:sz w:val="32"/>
          <w:szCs w:val="32"/>
          <w:highlight w:val="none"/>
          <w:shd w:val="clear" w:color="auto" w:fill="auto"/>
          <w:lang w:val="en-US" w:eastAsia="zh-CN"/>
        </w:rPr>
        <w:t>20</w:t>
      </w:r>
      <w:r>
        <w:rPr>
          <w:rFonts w:hint="eastAsia" w:ascii="方正仿宋_GBK" w:hAnsi="方正仿宋_GBK" w:eastAsia="方正仿宋_GBK" w:cs="方正仿宋_GBK"/>
          <w:b w:val="0"/>
          <w:bCs/>
          <w:color w:val="auto"/>
          <w:sz w:val="32"/>
          <w:szCs w:val="32"/>
          <w:highlight w:val="none"/>
          <w:shd w:val="clear" w:color="auto" w:fill="auto"/>
          <w:lang w:eastAsia="zh-CN"/>
        </w:rPr>
        <w:t>分，得分</w:t>
      </w:r>
      <w:r>
        <w:rPr>
          <w:rFonts w:hint="eastAsia" w:ascii="方正仿宋_GBK" w:hAnsi="方正仿宋_GBK" w:eastAsia="方正仿宋_GBK" w:cs="方正仿宋_GBK"/>
          <w:b w:val="0"/>
          <w:bCs/>
          <w:color w:val="auto"/>
          <w:sz w:val="32"/>
          <w:szCs w:val="32"/>
          <w:highlight w:val="none"/>
          <w:shd w:val="clear" w:color="auto" w:fill="auto"/>
          <w:lang w:val="en-US" w:eastAsia="zh-CN"/>
        </w:rPr>
        <w:t>18.49</w:t>
      </w:r>
      <w:r>
        <w:rPr>
          <w:rFonts w:hint="eastAsia" w:ascii="方正仿宋_GBK" w:hAnsi="方正仿宋_GBK" w:eastAsia="方正仿宋_GBK" w:cs="方正仿宋_GBK"/>
          <w:b w:val="0"/>
          <w:bCs/>
          <w:color w:val="auto"/>
          <w:sz w:val="32"/>
          <w:szCs w:val="32"/>
          <w:highlight w:val="none"/>
          <w:shd w:val="clear" w:color="auto" w:fill="auto"/>
          <w:lang w:eastAsia="zh-CN"/>
        </w:rPr>
        <w:t>分，得分率</w:t>
      </w:r>
      <w:r>
        <w:rPr>
          <w:rFonts w:hint="eastAsia" w:ascii="方正仿宋_GBK" w:hAnsi="方正仿宋_GBK" w:eastAsia="方正仿宋_GBK" w:cs="方正仿宋_GBK"/>
          <w:b w:val="0"/>
          <w:bCs/>
          <w:color w:val="auto"/>
          <w:sz w:val="32"/>
          <w:szCs w:val="32"/>
          <w:highlight w:val="none"/>
          <w:shd w:val="clear" w:color="auto" w:fill="auto"/>
          <w:lang w:val="en-US" w:eastAsia="zh-CN"/>
        </w:rPr>
        <w:t>92.45%</w:t>
      </w:r>
      <w:r>
        <w:rPr>
          <w:rFonts w:hint="eastAsia" w:ascii="方正仿宋_GBK" w:hAnsi="方正仿宋_GBK" w:eastAsia="方正仿宋_GBK" w:cs="方正仿宋_GBK"/>
          <w:b w:val="0"/>
          <w:bCs/>
          <w:color w:val="auto"/>
          <w:sz w:val="32"/>
          <w:szCs w:val="32"/>
          <w:highlight w:val="none"/>
          <w:shd w:val="clear" w:color="auto" w:fill="auto"/>
          <w:lang w:eastAsia="zh-CN"/>
        </w:rPr>
        <w:t>；项目绩效类指标权重</w:t>
      </w:r>
      <w:r>
        <w:rPr>
          <w:rFonts w:hint="eastAsia" w:ascii="方正仿宋_GBK" w:hAnsi="方正仿宋_GBK" w:eastAsia="方正仿宋_GBK" w:cs="方正仿宋_GBK"/>
          <w:b w:val="0"/>
          <w:bCs/>
          <w:color w:val="auto"/>
          <w:sz w:val="32"/>
          <w:szCs w:val="32"/>
          <w:highlight w:val="none"/>
          <w:shd w:val="clear" w:color="auto" w:fill="auto"/>
          <w:lang w:val="en-US" w:eastAsia="zh-CN"/>
        </w:rPr>
        <w:t>60</w:t>
      </w:r>
      <w:r>
        <w:rPr>
          <w:rFonts w:hint="eastAsia" w:ascii="方正仿宋_GBK" w:hAnsi="方正仿宋_GBK" w:eastAsia="方正仿宋_GBK" w:cs="方正仿宋_GBK"/>
          <w:b w:val="0"/>
          <w:bCs/>
          <w:color w:val="auto"/>
          <w:sz w:val="32"/>
          <w:szCs w:val="32"/>
          <w:highlight w:val="none"/>
          <w:shd w:val="clear" w:color="auto" w:fill="auto"/>
          <w:lang w:eastAsia="zh-CN"/>
        </w:rPr>
        <w:t>分，得分</w:t>
      </w:r>
      <w:r>
        <w:rPr>
          <w:rFonts w:hint="eastAsia" w:ascii="方正仿宋_GBK" w:hAnsi="方正仿宋_GBK" w:eastAsia="方正仿宋_GBK" w:cs="方正仿宋_GBK"/>
          <w:b w:val="0"/>
          <w:bCs/>
          <w:color w:val="auto"/>
          <w:sz w:val="32"/>
          <w:szCs w:val="32"/>
          <w:highlight w:val="none"/>
          <w:shd w:val="clear" w:color="auto" w:fill="auto"/>
          <w:lang w:val="en-US" w:eastAsia="zh-CN"/>
        </w:rPr>
        <w:t>59.98</w:t>
      </w:r>
      <w:r>
        <w:rPr>
          <w:rFonts w:hint="eastAsia" w:ascii="方正仿宋_GBK" w:hAnsi="方正仿宋_GBK" w:eastAsia="方正仿宋_GBK" w:cs="方正仿宋_GBK"/>
          <w:b w:val="0"/>
          <w:bCs/>
          <w:color w:val="auto"/>
          <w:sz w:val="32"/>
          <w:szCs w:val="32"/>
          <w:highlight w:val="none"/>
          <w:shd w:val="clear" w:color="auto" w:fill="auto"/>
          <w:lang w:eastAsia="zh-CN"/>
        </w:rPr>
        <w:t>分，得分率</w:t>
      </w:r>
      <w:r>
        <w:rPr>
          <w:rFonts w:hint="eastAsia" w:ascii="方正仿宋_GBK" w:hAnsi="方正仿宋_GBK" w:eastAsia="方正仿宋_GBK" w:cs="方正仿宋_GBK"/>
          <w:b w:val="0"/>
          <w:bCs/>
          <w:color w:val="auto"/>
          <w:sz w:val="32"/>
          <w:szCs w:val="32"/>
          <w:highlight w:val="none"/>
          <w:shd w:val="clear" w:color="auto" w:fill="auto"/>
          <w:lang w:val="en-US" w:eastAsia="zh-CN"/>
        </w:rPr>
        <w:t>99.97%</w:t>
      </w:r>
      <w:r>
        <w:rPr>
          <w:rFonts w:hint="eastAsia" w:ascii="方正仿宋_GBK" w:hAnsi="方正仿宋_GBK" w:eastAsia="方正仿宋_GBK" w:cs="方正仿宋_GBK"/>
          <w:b w:val="0"/>
          <w:bCs/>
          <w:color w:val="auto"/>
          <w:sz w:val="32"/>
          <w:szCs w:val="32"/>
          <w:highlight w:val="none"/>
          <w:shd w:val="clear" w:color="auto" w:fill="auto"/>
          <w:lang w:eastAsia="zh-CN"/>
        </w:rPr>
        <w:t>。</w:t>
      </w:r>
    </w:p>
    <w:p>
      <w:pPr>
        <w:widowControl w:val="0"/>
        <w:bidi w:val="0"/>
        <w:spacing w:line="620" w:lineRule="exact"/>
        <w:ind w:left="0" w:firstLine="643" w:firstLineChars="200"/>
        <w:jc w:val="both"/>
        <w:outlineLvl w:val="1"/>
        <w:rPr>
          <w:rFonts w:hint="default" w:ascii="Times New Roman" w:hAnsi="Times New Roman" w:eastAsia="方正楷体_GBK" w:cs="方正楷体_GBK"/>
          <w:b/>
          <w:bCs/>
          <w:kern w:val="2"/>
          <w:sz w:val="32"/>
          <w:szCs w:val="32"/>
          <w:lang w:val="zh-CN" w:eastAsia="zh-CN" w:bidi="zh-CN"/>
        </w:rPr>
      </w:pPr>
      <w:bookmarkStart w:id="62" w:name="_Toc27816"/>
      <w:bookmarkStart w:id="63" w:name="_Toc5297"/>
      <w:bookmarkStart w:id="64" w:name="_Toc7498"/>
      <w:bookmarkStart w:id="65" w:name="_Toc10187"/>
      <w:bookmarkStart w:id="66" w:name="_Toc12618"/>
      <w:bookmarkStart w:id="67" w:name="_Toc13503"/>
      <w:bookmarkStart w:id="68" w:name="_Toc18197"/>
      <w:bookmarkStart w:id="69" w:name="_Toc8721"/>
      <w:r>
        <w:rPr>
          <w:rFonts w:hint="eastAsia" w:ascii="Times New Roman" w:hAnsi="Times New Roman" w:eastAsia="方正楷体_GBK" w:cs="方正楷体_GBK"/>
          <w:b/>
          <w:bCs/>
          <w:kern w:val="2"/>
          <w:sz w:val="32"/>
          <w:szCs w:val="32"/>
          <w:lang w:val="zh-CN" w:eastAsia="zh-CN" w:bidi="zh-CN"/>
        </w:rPr>
        <w:t>（二）</w:t>
      </w:r>
      <w:r>
        <w:rPr>
          <w:rFonts w:hint="default" w:ascii="Times New Roman" w:hAnsi="Times New Roman" w:eastAsia="方正楷体_GBK" w:cs="方正楷体_GBK"/>
          <w:b/>
          <w:bCs/>
          <w:kern w:val="2"/>
          <w:sz w:val="32"/>
          <w:szCs w:val="32"/>
          <w:lang w:val="zh-CN" w:eastAsia="zh-CN" w:bidi="zh-CN"/>
        </w:rPr>
        <w:t>预算执行情况</w:t>
      </w:r>
      <w:bookmarkEnd w:id="62"/>
      <w:bookmarkEnd w:id="63"/>
      <w:bookmarkEnd w:id="64"/>
      <w:bookmarkEnd w:id="65"/>
      <w:bookmarkEnd w:id="66"/>
      <w:bookmarkEnd w:id="67"/>
      <w:bookmarkEnd w:id="68"/>
      <w:bookmarkEnd w:id="69"/>
    </w:p>
    <w:p>
      <w:pPr>
        <w:bidi w:val="0"/>
        <w:spacing w:line="620" w:lineRule="exact"/>
        <w:rPr>
          <w:rFonts w:hint="default"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该项目预算资金总额为</w:t>
      </w:r>
      <w:r>
        <w:rPr>
          <w:rFonts w:hint="eastAsia" w:ascii="Times New Roman" w:hAnsi="Times New Roman" w:eastAsia="方正仿宋_GBK" w:cs="方正仿宋_GBK"/>
          <w:sz w:val="32"/>
          <w:szCs w:val="32"/>
          <w:lang w:val="en-US" w:eastAsia="zh-CN"/>
        </w:rPr>
        <w:t>150</w:t>
      </w:r>
      <w:r>
        <w:rPr>
          <w:rFonts w:hint="eastAsia" w:ascii="Times New Roman" w:hAnsi="Times New Roman" w:eastAsia="方正仿宋_GBK" w:cs="方正仿宋_GBK"/>
          <w:sz w:val="32"/>
          <w:szCs w:val="32"/>
        </w:rPr>
        <w:t>万元，其中：财政资金</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万元，其他资金</w:t>
      </w:r>
      <w:r>
        <w:rPr>
          <w:rFonts w:hint="eastAsia" w:ascii="Times New Roman" w:hAnsi="Times New Roman" w:eastAsia="方正仿宋_GBK" w:cs="方正仿宋_GBK"/>
          <w:sz w:val="32"/>
          <w:szCs w:val="32"/>
          <w:lang w:val="en-US" w:eastAsia="zh-CN"/>
        </w:rPr>
        <w:t>150</w:t>
      </w:r>
      <w:r>
        <w:rPr>
          <w:rFonts w:hint="eastAsia" w:ascii="Times New Roman" w:hAnsi="Times New Roman" w:eastAsia="方正仿宋_GBK" w:cs="方正仿宋_GBK"/>
          <w:sz w:val="32"/>
          <w:szCs w:val="32"/>
        </w:rPr>
        <w:t>万元；实际到位资金</w:t>
      </w:r>
      <w:r>
        <w:rPr>
          <w:rFonts w:hint="eastAsia" w:ascii="Times New Roman" w:hAnsi="Times New Roman" w:eastAsia="方正仿宋_GBK" w:cs="方正仿宋_GBK"/>
          <w:sz w:val="32"/>
          <w:szCs w:val="32"/>
          <w:lang w:val="en-US" w:eastAsia="zh-CN"/>
        </w:rPr>
        <w:t>150</w:t>
      </w:r>
      <w:r>
        <w:rPr>
          <w:rFonts w:hint="eastAsia" w:ascii="Times New Roman" w:hAnsi="Times New Roman" w:eastAsia="方正仿宋_GBK" w:cs="方正仿宋_GBK"/>
          <w:sz w:val="32"/>
          <w:szCs w:val="32"/>
        </w:rPr>
        <w:t>万元，其中：财政资金</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万元，其他资金</w:t>
      </w:r>
      <w:r>
        <w:rPr>
          <w:rFonts w:hint="eastAsia" w:ascii="Times New Roman" w:hAnsi="Times New Roman" w:eastAsia="方正仿宋_GBK" w:cs="方正仿宋_GBK"/>
          <w:sz w:val="32"/>
          <w:szCs w:val="32"/>
          <w:lang w:val="en-US" w:eastAsia="zh-CN"/>
        </w:rPr>
        <w:t>150</w:t>
      </w:r>
      <w:r>
        <w:rPr>
          <w:rFonts w:hint="eastAsia" w:ascii="Times New Roman" w:hAnsi="Times New Roman" w:eastAsia="方正仿宋_GBK" w:cs="方正仿宋_GBK"/>
          <w:sz w:val="32"/>
          <w:szCs w:val="32"/>
        </w:rPr>
        <w:t>万元，资金到位率为</w:t>
      </w:r>
      <w:r>
        <w:rPr>
          <w:rFonts w:hint="eastAsia" w:ascii="Times New Roman" w:hAnsi="Times New Roman" w:eastAsia="方正仿宋_GBK" w:cs="方正仿宋_GBK"/>
          <w:sz w:val="32"/>
          <w:szCs w:val="32"/>
          <w:lang w:val="en-US" w:eastAsia="zh-CN"/>
        </w:rPr>
        <w:t>100</w:t>
      </w:r>
      <w:r>
        <w:rPr>
          <w:rFonts w:hint="eastAsia" w:ascii="Times New Roman" w:hAnsi="Times New Roman" w:eastAsia="方正仿宋_GBK" w:cs="方正仿宋_GBK"/>
          <w:sz w:val="32"/>
          <w:szCs w:val="32"/>
        </w:rPr>
        <w:t>%；该项目实际支出资金总额为</w:t>
      </w:r>
      <w:r>
        <w:rPr>
          <w:rFonts w:hint="eastAsia" w:ascii="Times New Roman" w:hAnsi="Times New Roman" w:eastAsia="方正仿宋_GBK" w:cs="方正仿宋_GBK"/>
          <w:sz w:val="32"/>
          <w:szCs w:val="32"/>
          <w:lang w:val="en-US" w:eastAsia="zh-CN"/>
        </w:rPr>
        <w:t>149.59</w:t>
      </w:r>
      <w:r>
        <w:rPr>
          <w:rFonts w:hint="eastAsia" w:ascii="Times New Roman" w:hAnsi="Times New Roman" w:eastAsia="方正仿宋_GBK" w:cs="方正仿宋_GBK"/>
          <w:sz w:val="32"/>
          <w:szCs w:val="32"/>
        </w:rPr>
        <w:t>万元，预算资金执行率为</w:t>
      </w:r>
      <w:r>
        <w:rPr>
          <w:rFonts w:hint="eastAsia" w:ascii="Times New Roman" w:hAnsi="Times New Roman" w:eastAsia="方正仿宋_GBK" w:cs="方正仿宋_GBK"/>
          <w:sz w:val="32"/>
          <w:szCs w:val="32"/>
          <w:lang w:val="en-US" w:eastAsia="zh-CN"/>
        </w:rPr>
        <w:t>99.73%</w:t>
      </w:r>
      <w:r>
        <w:rPr>
          <w:rFonts w:hint="eastAsia" w:ascii="Times New Roman" w:hAnsi="Times New Roman" w:eastAsia="方正仿宋_GBK" w:cs="方正仿宋_GBK"/>
          <w:sz w:val="32"/>
          <w:szCs w:val="32"/>
        </w:rPr>
        <w:t>。</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黑体" w:hAnsi="黑体" w:eastAsia="黑体" w:cs="黑体"/>
          <w:b w:val="0"/>
          <w:bCs/>
          <w:color w:val="auto"/>
          <w:sz w:val="32"/>
          <w:szCs w:val="32"/>
          <w:shd w:val="clear" w:color="auto" w:fill="auto"/>
        </w:rPr>
      </w:pPr>
      <w:r>
        <w:rPr>
          <w:rFonts w:hint="eastAsia" w:ascii="黑体" w:hAnsi="黑体" w:eastAsia="黑体" w:cs="黑体"/>
          <w:b w:val="0"/>
          <w:bCs/>
          <w:color w:val="auto"/>
          <w:sz w:val="32"/>
          <w:szCs w:val="32"/>
          <w:shd w:val="clear" w:color="auto" w:fill="auto"/>
        </w:rPr>
        <w:t>三、取得的业绩、存在的问题和改进的建议</w:t>
      </w:r>
    </w:p>
    <w:p>
      <w:pPr>
        <w:widowControl w:val="0"/>
        <w:bidi w:val="0"/>
        <w:spacing w:line="560" w:lineRule="exact"/>
        <w:ind w:left="0" w:firstLine="643" w:firstLineChars="200"/>
        <w:jc w:val="both"/>
        <w:outlineLvl w:val="1"/>
        <w:rPr>
          <w:rFonts w:hint="eastAsia" w:ascii="方正楷体_GBK" w:hAnsi="方正楷体_GBK" w:eastAsia="方正楷体_GBK" w:cs="方正楷体_GBK"/>
          <w:b/>
          <w:bCs/>
          <w:color w:val="auto"/>
          <w:kern w:val="2"/>
          <w:sz w:val="32"/>
          <w:szCs w:val="32"/>
          <w:shd w:val="clear" w:color="auto" w:fill="auto"/>
          <w:lang w:val="zh-CN" w:eastAsia="zh-CN" w:bidi="zh-CN"/>
        </w:rPr>
      </w:pPr>
      <w:bookmarkStart w:id="70" w:name="_Toc2545"/>
      <w:bookmarkStart w:id="71" w:name="_Toc3867"/>
      <w:bookmarkStart w:id="72" w:name="_Toc1502"/>
      <w:bookmarkStart w:id="73" w:name="_Toc8892"/>
      <w:r>
        <w:rPr>
          <w:rFonts w:hint="eastAsia" w:ascii="方正楷体_GBK" w:hAnsi="方正楷体_GBK" w:eastAsia="方正楷体_GBK" w:cs="方正楷体_GBK"/>
          <w:b/>
          <w:bCs/>
          <w:color w:val="auto"/>
          <w:kern w:val="2"/>
          <w:sz w:val="32"/>
          <w:szCs w:val="32"/>
          <w:shd w:val="clear" w:color="auto" w:fill="auto"/>
          <w:lang w:val="zh-CN" w:eastAsia="zh-CN" w:bidi="zh-CN"/>
        </w:rPr>
        <w:t>（一）主要经验及做法</w:t>
      </w:r>
      <w:bookmarkEnd w:id="70"/>
      <w:bookmarkEnd w:id="71"/>
      <w:bookmarkEnd w:id="72"/>
      <w:bookmarkEnd w:id="73"/>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bookmarkStart w:id="74" w:name="_Toc2457"/>
      <w:bookmarkStart w:id="75" w:name="_Toc17754"/>
      <w:r>
        <w:rPr>
          <w:rFonts w:hint="eastAsia" w:ascii="方正仿宋简体" w:hAnsi="方正仿宋简体" w:eastAsia="方正仿宋简体" w:cs="方正仿宋简体"/>
          <w:b/>
          <w:bCs w:val="0"/>
          <w:color w:val="auto"/>
          <w:sz w:val="32"/>
          <w:szCs w:val="32"/>
          <w:shd w:val="clear" w:color="auto" w:fill="auto"/>
          <w:lang w:val="en-US" w:eastAsia="zh-CN"/>
        </w:rPr>
        <w:t>1.规范管理，构建权责清晰的实施体系</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建立“主管部门统筹、实施部门执行、财务部门监管”的三级组织架构，明确各岗位权责分工，形成闭环管理机制。严格执行专项资金管理制度，150万元援疆资金专款专用、专账核算，资金分配精准匹配授课平台、考阅支持、作业服务、数据分析等核心建设内容，审批流程完整合规，全程规避截留、挤占、挪用风险，保障资金使用高效安全。</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2.聚焦实效，精准推进数字化教学赋能</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精准聚焦义务教育教学短板，优先部署智慧教育软件服务系统，覆盖8所核心学校，确保数字化工具深度融入日常教学与晚自习场景。同步联动上海优质教育资源，开展线上高考冲刺教学培训研讨，实现“硬件+软件+师资”协同发力，快速补齐县域信息化教学短板，直接赋能教师精准教学与学生个性化学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0" w:firstLineChars="0"/>
        <w:jc w:val="left"/>
        <w:rPr>
          <w:rFonts w:eastAsia="宋体" w:cs="Times New Roman"/>
          <w:color w:val="auto"/>
          <w:sz w:val="19"/>
          <w:szCs w:val="19"/>
          <w:shd w:val="clear" w:color="auto" w:fill="auto"/>
        </w:rPr>
      </w:pP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3.闭环管控，保障项目高效落地见效</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实施全流程精细化管控，前期科学编制预算、细化绩效目标，将核心任务拆解为可量化、可考核的产出与效益指标；中期实时跟踪项目进度，定期核查资金支出、系统部署、使用频次等关键节点，及时协调解决实施堵点；后期严格开展验收评价，结合问卷调查、实地走访核验应用效果，确保项目按质按量完成，最终实现99.73%的预算执行率、100%的软件应用率，师生满意度达95%。</w:t>
      </w:r>
    </w:p>
    <w:bookmarkEnd w:id="74"/>
    <w:bookmarkEnd w:id="75"/>
    <w:p>
      <w:pPr>
        <w:widowControl w:val="0"/>
        <w:bidi w:val="0"/>
        <w:spacing w:line="620" w:lineRule="exact"/>
        <w:ind w:left="0" w:firstLine="643" w:firstLineChars="200"/>
        <w:jc w:val="both"/>
        <w:outlineLvl w:val="1"/>
        <w:rPr>
          <w:rFonts w:hint="eastAsia" w:ascii="Times New Roman" w:hAnsi="Times New Roman" w:eastAsia="方正楷体_GBK" w:cs="方正楷体_GBK"/>
          <w:b/>
          <w:bCs/>
          <w:kern w:val="2"/>
          <w:sz w:val="32"/>
          <w:szCs w:val="32"/>
          <w:lang w:val="en-US" w:eastAsia="zh-CN" w:bidi="zh-CN"/>
        </w:rPr>
      </w:pPr>
      <w:bookmarkStart w:id="76" w:name="_Toc29740"/>
      <w:bookmarkStart w:id="77" w:name="_Toc29317"/>
      <w:bookmarkStart w:id="78" w:name="_Toc24221"/>
      <w:r>
        <w:rPr>
          <w:rFonts w:hint="eastAsia" w:ascii="Times New Roman" w:hAnsi="Times New Roman" w:eastAsia="方正楷体_GBK" w:cs="方正楷体_GBK"/>
          <w:b/>
          <w:bCs/>
          <w:kern w:val="2"/>
          <w:sz w:val="32"/>
          <w:szCs w:val="32"/>
          <w:lang w:val="en-US" w:eastAsia="zh-CN" w:bidi="zh-CN"/>
        </w:rPr>
        <w:t>（二）存在问题及原因分析</w:t>
      </w:r>
      <w:bookmarkEnd w:id="76"/>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default"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1.项目执行管理有待加强</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1"/>
        <w:rPr>
          <w:rFonts w:hint="eastAsia" w:ascii="方正仿宋_GBK" w:hAnsi="方正仿宋_GBK" w:eastAsia="方正仿宋_GBK" w:cs="方正仿宋_GBK"/>
          <w:b w:val="0"/>
          <w:bCs/>
          <w:color w:val="auto"/>
          <w:sz w:val="32"/>
          <w:szCs w:val="32"/>
          <w:shd w:val="clear" w:color="auto" w:fill="auto"/>
          <w:lang w:val="en-US" w:eastAsia="zh-CN"/>
        </w:rPr>
      </w:pPr>
      <w:r>
        <w:rPr>
          <w:rFonts w:hint="eastAsia" w:ascii="方正仿宋_GBK" w:hAnsi="方正仿宋_GBK" w:eastAsia="方正仿宋_GBK" w:cs="方正仿宋_GBK"/>
          <w:b w:val="0"/>
          <w:bCs/>
          <w:color w:val="auto"/>
          <w:sz w:val="32"/>
          <w:szCs w:val="32"/>
          <w:shd w:val="clear" w:color="auto" w:fill="auto"/>
          <w:lang w:val="en-US" w:eastAsia="zh-CN"/>
        </w:rPr>
        <w:t>项目预算资金150万元，软件合同总价149.90万元，项目投资监理合同0.78万元，两项合计150.68万元，合同总价超出项目预算，项目合同价较项目预算高出0.45%，超预算实施项目，极易形成单位应付未付账款。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2.长效运营机制有待完善，后续应用赋能不足</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项目聚焦系统部署与短期应用，对软件后续迭代升级、教师常态化信息化能力提升、数据深度分析应用等长效工作规划不足，难以保障数字化教学效能持续释放。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3.项目验收管理不够规范</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default"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验收单、竣工验收报告未明确标注项目完工时间、竣工时间，缺少关键节点佐证材料，验收流程完整性、规范性不足，不利于项目全过程追溯管理。</w:t>
      </w:r>
    </w:p>
    <w:p>
      <w:pPr>
        <w:widowControl w:val="0"/>
        <w:numPr>
          <w:ilvl w:val="0"/>
          <w:numId w:val="0"/>
        </w:numPr>
        <w:bidi w:val="0"/>
        <w:spacing w:line="560" w:lineRule="exact"/>
        <w:ind w:firstLine="643" w:firstLineChars="200"/>
        <w:jc w:val="both"/>
        <w:outlineLvl w:val="1"/>
        <w:rPr>
          <w:rFonts w:hint="eastAsia" w:ascii="方正楷体_GBK" w:hAnsi="方正楷体_GBK" w:eastAsia="方正楷体_GBK" w:cs="方正楷体_GBK"/>
          <w:b/>
          <w:bCs/>
          <w:color w:val="auto"/>
          <w:kern w:val="2"/>
          <w:sz w:val="32"/>
          <w:szCs w:val="32"/>
          <w:shd w:val="clear" w:color="auto" w:fill="auto"/>
          <w:lang w:val="zh-CN" w:eastAsia="zh-CN" w:bidi="zh-CN"/>
        </w:rPr>
      </w:pPr>
      <w:bookmarkStart w:id="79" w:name="_Toc2584"/>
      <w:bookmarkStart w:id="80" w:name="_Toc17324"/>
      <w:r>
        <w:rPr>
          <w:rFonts w:hint="eastAsia" w:ascii="方正楷体_GBK" w:hAnsi="方正楷体_GBK" w:eastAsia="方正楷体_GBK" w:cs="方正楷体_GBK"/>
          <w:b/>
          <w:bCs/>
          <w:color w:val="auto"/>
          <w:kern w:val="2"/>
          <w:sz w:val="32"/>
          <w:szCs w:val="32"/>
          <w:shd w:val="clear" w:color="auto" w:fill="auto"/>
          <w:lang w:val="zh-CN" w:eastAsia="zh-CN" w:bidi="zh-CN"/>
        </w:rPr>
        <w:t>（</w:t>
      </w:r>
      <w:r>
        <w:rPr>
          <w:rFonts w:hint="eastAsia" w:ascii="方正楷体_GBK" w:hAnsi="方正楷体_GBK" w:eastAsia="方正楷体_GBK" w:cs="方正楷体_GBK"/>
          <w:b/>
          <w:bCs/>
          <w:color w:val="auto"/>
          <w:kern w:val="2"/>
          <w:sz w:val="32"/>
          <w:szCs w:val="32"/>
          <w:shd w:val="clear" w:color="auto" w:fill="auto"/>
          <w:lang w:val="en-US" w:eastAsia="zh-CN" w:bidi="zh-CN"/>
        </w:rPr>
        <w:t>三</w:t>
      </w:r>
      <w:r>
        <w:rPr>
          <w:rFonts w:hint="eastAsia" w:ascii="方正楷体_GBK" w:hAnsi="方正楷体_GBK" w:eastAsia="方正楷体_GBK" w:cs="方正楷体_GBK"/>
          <w:b/>
          <w:bCs/>
          <w:color w:val="auto"/>
          <w:kern w:val="2"/>
          <w:sz w:val="32"/>
          <w:szCs w:val="32"/>
          <w:shd w:val="clear" w:color="auto" w:fill="auto"/>
          <w:lang w:val="zh-CN" w:eastAsia="zh-CN" w:bidi="zh-CN"/>
        </w:rPr>
        <w:t>）有关建议</w:t>
      </w:r>
      <w:bookmarkEnd w:id="77"/>
      <w:bookmarkEnd w:id="78"/>
      <w:bookmarkEnd w:id="79"/>
      <w:bookmarkEnd w:id="80"/>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default"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1.加强项目管理</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1"/>
        <w:rPr>
          <w:rFonts w:hint="eastAsia" w:ascii="方正仿宋_GBK" w:hAnsi="方正仿宋_GBK" w:eastAsia="方正仿宋_GBK" w:cs="方正仿宋_GBK"/>
          <w:b w:val="0"/>
          <w:bCs/>
          <w:color w:val="auto"/>
          <w:sz w:val="32"/>
          <w:szCs w:val="32"/>
          <w:shd w:val="clear" w:color="auto" w:fill="auto"/>
          <w:lang w:val="en-US" w:eastAsia="zh-CN"/>
        </w:rPr>
      </w:pPr>
      <w:r>
        <w:rPr>
          <w:rFonts w:hint="eastAsia" w:ascii="方正仿宋_GBK" w:hAnsi="方正仿宋_GBK" w:eastAsia="方正仿宋_GBK" w:cs="方正仿宋_GBK"/>
          <w:b w:val="0"/>
          <w:bCs/>
          <w:color w:val="auto"/>
          <w:sz w:val="32"/>
          <w:szCs w:val="32"/>
          <w:shd w:val="clear" w:color="auto" w:fill="auto"/>
          <w:lang w:val="en-US" w:eastAsia="zh-CN"/>
        </w:rPr>
        <w:t>建立业务、财务多部门联合合同审核机制，所有项目合同签订前，必须对照项目发改批复、实施方案、预算下达文件，逐项核对合同标的、服务内容、总金额，确保合同内容完全匹配批复建设范围、合同总价严格控制在项目预算总额内。对超预算、无预算、超出批复建设内容的合同，一律不予盖章、不予办理后续支付，坚决杜绝“先签合同、后补手续”；在150万元预算额度内按项目进度支付款项，严禁超预算付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2.构建长效运营机制，持续释放数字化赋能效能</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建立“建设+运营+维护”一体化管理模式，将智慧教育系统后续运维、迭代升级费用纳入年度预算，保障系统稳定运行；制定常态化师资培训计划，定期邀请上海及本地专家开展数字化教学进阶培训，提升教师深度应用能力；搭建教学数据分析专班，定期复盘学情、教情数据，形成分析报告并指导教学优化，最大化发挥数据价值。</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3.规范验收流程，健全标准化资料管理体系</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制定统一的项目验收管理办法与台账模板，明确验收单、竣工报告、佐证材料的必填要素，强制要求注明完工时间、验收时间、验收结论等关键信息；安排专人负责验收资料审核，实行“资料不全不验收、流程不合规不通过”，确保验收工作标准化、规范化，留存完整闭环资料。</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jc w:val="center"/>
        <w:textAlignment w:val="auto"/>
        <w:outlineLvl w:val="9"/>
        <w:rPr>
          <w:rFonts w:hint="eastAsia" w:ascii="方正小标宋_GBK" w:hAnsi="方正小标宋_GBK" w:eastAsia="方正小标宋_GBK" w:cs="方正小标宋_GBK"/>
          <w:b/>
          <w:bCs w:val="0"/>
          <w:color w:val="auto"/>
          <w:spacing w:val="-1"/>
          <w:sz w:val="40"/>
          <w:szCs w:val="40"/>
          <w:shd w:val="clear" w:color="auto" w:fill="auto"/>
          <w:lang w:eastAsia="zh-CN"/>
        </w:rPr>
      </w:pP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jc w:val="center"/>
        <w:textAlignment w:val="auto"/>
        <w:outlineLvl w:val="9"/>
        <w:rPr>
          <w:rFonts w:hint="eastAsia" w:ascii="方正小标宋_GBK" w:hAnsi="方正小标宋_GBK" w:eastAsia="方正小标宋_GBK" w:cs="方正小标宋_GBK"/>
          <w:b/>
          <w:bCs w:val="0"/>
          <w:color w:val="auto"/>
          <w:spacing w:val="-1"/>
          <w:sz w:val="40"/>
          <w:szCs w:val="40"/>
          <w:shd w:val="clear" w:color="auto" w:fill="auto"/>
          <w:lang w:eastAsia="zh-CN"/>
        </w:rPr>
      </w:pPr>
    </w:p>
    <w:sdt>
      <w:sdtPr>
        <w:rPr>
          <w:rFonts w:ascii="宋体" w:hAnsi="宋体" w:eastAsia="宋体" w:cs="黑体"/>
          <w:kern w:val="2"/>
          <w:sz w:val="21"/>
          <w:szCs w:val="22"/>
          <w:lang w:val="en-US" w:eastAsia="zh-CN" w:bidi="ar-SA"/>
        </w:rPr>
        <w:id w:val="147468474"/>
        <w15:color w:val="DBDBDB"/>
        <w:docPartObj>
          <w:docPartGallery w:val="Table of Contents"/>
          <w:docPartUnique/>
        </w:docPartObj>
      </w:sdtPr>
      <w:sdtEndPr>
        <w:rPr>
          <w:rFonts w:hint="eastAsia" w:ascii="宋体" w:hAnsi="宋体" w:eastAsia="宋体" w:cs="宋体"/>
          <w:b/>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pStyle w:val="2"/>
            <w:rPr>
              <w:lang w:val="en-US" w:eastAsia="zh-CN"/>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ascii="宋体" w:hAnsi="宋体" w:eastAsia="宋体" w:cs="黑体"/>
              <w:kern w:val="2"/>
              <w:sz w:val="21"/>
              <w:szCs w:val="22"/>
              <w:lang w:val="en-US" w:eastAsia="zh-CN" w:bidi="ar-SA"/>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p>
        <w:p>
          <w:pPr>
            <w:spacing w:before="0" w:beforeLines="0" w:after="0" w:afterLines="0" w:line="240" w:lineRule="auto"/>
            <w:ind w:left="0" w:leftChars="0" w:right="0" w:rightChars="0" w:firstLine="0" w:firstLineChars="0"/>
            <w:jc w:val="center"/>
            <w:rPr>
              <w:rFonts w:hint="eastAsia" w:ascii="方正黑体_GBK" w:hAnsi="方正黑体_GBK" w:eastAsia="方正黑体_GBK" w:cs="方正黑体_GBK"/>
              <w:b/>
              <w:bCs/>
              <w:sz w:val="40"/>
              <w:szCs w:val="40"/>
            </w:rPr>
          </w:pPr>
          <w:r>
            <w:rPr>
              <w:rFonts w:hint="eastAsia" w:ascii="方正黑体_GBK" w:hAnsi="方正黑体_GBK" w:eastAsia="方正黑体_GBK" w:cs="方正黑体_GBK"/>
              <w:b/>
              <w:bCs/>
              <w:sz w:val="40"/>
              <w:szCs w:val="40"/>
            </w:rPr>
            <w:t>目录</w:t>
          </w:r>
        </w:p>
        <w:p>
          <w:pPr>
            <w:pStyle w:val="37"/>
            <w:tabs>
              <w:tab w:val="right" w:pos="7600"/>
              <w:tab w:val="right" w:leader="dot" w:pos="8844"/>
            </w:tabs>
            <w:rPr>
              <w:b/>
            </w:rPr>
          </w:pPr>
          <w:r>
            <w:rPr>
              <w:rFonts w:hint="eastAsia"/>
              <w:lang w:eastAsia="zh-CN"/>
            </w:rPr>
            <w:fldChar w:fldCharType="begin"/>
          </w:r>
          <w:r>
            <w:rPr>
              <w:rFonts w:hint="eastAsia"/>
              <w:lang w:eastAsia="zh-CN"/>
            </w:rPr>
            <w:instrText xml:space="preserve">TOC\o"1-2"\h\u</w:instrText>
          </w:r>
          <w:r>
            <w:rPr>
              <w:rFonts w:hint="eastAsia"/>
              <w:lang w:eastAsia="zh-CN"/>
            </w:rPr>
            <w:fldChar w:fldCharType="separate"/>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HYPERLINK\l_Toc6858</w:instrText>
          </w:r>
          <w:r>
            <w:rPr>
              <w:rFonts w:hint="eastAsia"/>
              <w:b/>
              <w:lang w:eastAsia="zh-CN"/>
            </w:rPr>
            <w:fldChar w:fldCharType="separate"/>
          </w:r>
          <w:r>
            <w:rPr>
              <w:rFonts w:hint="eastAsia" w:ascii="方正黑体_GBK" w:hAnsi="方正黑体_GBK" w:eastAsia="方正黑体_GBK" w:cs="方正黑体_GBK"/>
              <w:b/>
              <w:szCs w:val="32"/>
              <w:shd w:val="clear" w:color="auto" w:fill="auto"/>
              <w:lang w:val="en-US" w:eastAsia="zh-CN"/>
            </w:rPr>
            <w:t>一、基本情况</w:t>
          </w:r>
          <w:r>
            <w:rPr>
              <w:b/>
            </w:rPr>
            <w:tab/>
          </w:r>
          <w:r>
            <w:rPr>
              <w:b/>
            </w:rPr>
            <w:fldChar w:fldCharType="begin"/>
          </w:r>
          <w:r>
            <w:rPr>
              <w:b/>
            </w:rPr>
            <w:instrText xml:space="preserve">PAGEREF_Toc6858\h</w:instrText>
          </w:r>
          <w:r>
            <w:rPr>
              <w:b/>
            </w:rPr>
            <w:fldChar w:fldCharType="separate"/>
          </w:r>
          <w:r>
            <w:rPr>
              <w:b/>
            </w:rPr>
            <w:t>1</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HYPERLINK\l_Toc2473</w:instrText>
          </w:r>
          <w:r>
            <w:rPr>
              <w:rFonts w:hint="eastAsia"/>
              <w:b/>
              <w:lang w:eastAsia="zh-CN"/>
            </w:rPr>
            <w:fldChar w:fldCharType="separate"/>
          </w:r>
          <w:r>
            <w:rPr>
              <w:rFonts w:hint="eastAsia" w:ascii="方正楷体_GBK" w:hAnsi="方正楷体_GBK" w:eastAsia="方正楷体_GBK" w:cs="方正楷体_GBK"/>
              <w:b/>
              <w:bCs w:val="0"/>
              <w:szCs w:val="32"/>
              <w:shd w:val="clear" w:color="auto" w:fill="auto"/>
              <w:lang w:val="en-US" w:eastAsia="zh-CN"/>
            </w:rPr>
            <w:t>（一）项目概况</w:t>
          </w:r>
          <w:r>
            <w:rPr>
              <w:b/>
            </w:rPr>
            <w:tab/>
          </w:r>
          <w:r>
            <w:rPr>
              <w:b/>
            </w:rPr>
            <w:fldChar w:fldCharType="begin"/>
          </w:r>
          <w:r>
            <w:rPr>
              <w:b/>
            </w:rPr>
            <w:instrText xml:space="preserve">PAGEREF_Toc2473\h</w:instrText>
          </w:r>
          <w:r>
            <w:rPr>
              <w:b/>
            </w:rPr>
            <w:fldChar w:fldCharType="separate"/>
          </w:r>
          <w:r>
            <w:rPr>
              <w:b/>
            </w:rPr>
            <w:t>1</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HYPERLINK\l_Toc13982</w:instrText>
          </w:r>
          <w:r>
            <w:rPr>
              <w:rFonts w:hint="eastAsia"/>
              <w:b/>
              <w:lang w:eastAsia="zh-CN"/>
            </w:rPr>
            <w:fldChar w:fldCharType="separate"/>
          </w:r>
          <w:r>
            <w:rPr>
              <w:rFonts w:hint="eastAsia" w:ascii="方正楷体_GBK" w:hAnsi="方正楷体_GBK" w:eastAsia="方正楷体_GBK" w:cs="方正楷体_GBK"/>
              <w:b/>
              <w:szCs w:val="32"/>
              <w:shd w:val="clear" w:color="auto" w:fill="auto"/>
              <w:lang w:val="en-US" w:eastAsia="zh-CN"/>
            </w:rPr>
            <w:t>（二）项目绩效目标</w:t>
          </w:r>
          <w:r>
            <w:rPr>
              <w:b/>
            </w:rPr>
            <w:tab/>
          </w:r>
          <w:r>
            <w:rPr>
              <w:b/>
            </w:rPr>
            <w:fldChar w:fldCharType="begin"/>
          </w:r>
          <w:r>
            <w:rPr>
              <w:b/>
            </w:rPr>
            <w:instrText xml:space="preserve">PAGEREF_Toc13982\h</w:instrText>
          </w:r>
          <w:r>
            <w:rPr>
              <w:b/>
            </w:rPr>
            <w:fldChar w:fldCharType="separate"/>
          </w:r>
          <w:r>
            <w:rPr>
              <w:b/>
            </w:rPr>
            <w:t>6</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HYPERLINK\l_Toc3758</w:instrText>
          </w:r>
          <w:r>
            <w:rPr>
              <w:rFonts w:hint="eastAsia"/>
              <w:b/>
              <w:lang w:eastAsia="zh-CN"/>
            </w:rPr>
            <w:fldChar w:fldCharType="separate"/>
          </w:r>
          <w:r>
            <w:rPr>
              <w:rFonts w:hint="eastAsia" w:ascii="方正黑体_GBK" w:hAnsi="方正黑体_GBK" w:eastAsia="方正黑体_GBK" w:cs="方正黑体_GBK"/>
              <w:b/>
              <w:bCs/>
              <w:szCs w:val="32"/>
              <w:shd w:val="clear" w:color="auto" w:fill="auto"/>
              <w:lang w:val="en-US" w:eastAsia="zh-CN"/>
            </w:rPr>
            <w:t>二、绩效评价工作开展情况</w:t>
          </w:r>
          <w:r>
            <w:rPr>
              <w:b/>
            </w:rPr>
            <w:tab/>
          </w:r>
          <w:r>
            <w:rPr>
              <w:b/>
            </w:rPr>
            <w:fldChar w:fldCharType="begin"/>
          </w:r>
          <w:r>
            <w:rPr>
              <w:b/>
            </w:rPr>
            <w:instrText xml:space="preserve">PAGEREF_Toc3758\h</w:instrText>
          </w:r>
          <w:r>
            <w:rPr>
              <w:b/>
            </w:rPr>
            <w:fldChar w:fldCharType="separate"/>
          </w:r>
          <w:r>
            <w:rPr>
              <w:b/>
            </w:rPr>
            <w:t>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HYPERLINK\l_Toc5588</w:instrText>
          </w:r>
          <w:r>
            <w:rPr>
              <w:rFonts w:hint="eastAsia"/>
              <w:b/>
              <w:lang w:eastAsia="zh-CN"/>
            </w:rPr>
            <w:fldChar w:fldCharType="separate"/>
          </w:r>
          <w:r>
            <w:rPr>
              <w:rFonts w:hint="eastAsia" w:ascii="方正仿宋简体" w:hAnsi="方正仿宋简体" w:eastAsia="方正仿宋简体" w:cs="方正仿宋简体"/>
              <w:b/>
              <w:szCs w:val="32"/>
              <w:shd w:val="clear" w:color="auto" w:fill="auto"/>
              <w:lang w:val="en-US" w:eastAsia="zh-CN"/>
            </w:rPr>
            <w:t>（一）绩效评价目的、对象和范围</w:t>
          </w:r>
          <w:r>
            <w:rPr>
              <w:b/>
            </w:rPr>
            <w:tab/>
          </w:r>
          <w:r>
            <w:rPr>
              <w:b/>
            </w:rPr>
            <w:fldChar w:fldCharType="begin"/>
          </w:r>
          <w:r>
            <w:rPr>
              <w:b/>
            </w:rPr>
            <w:instrText xml:space="preserve">PAGEREF_Toc5588\h</w:instrText>
          </w:r>
          <w:r>
            <w:rPr>
              <w:b/>
            </w:rPr>
            <w:fldChar w:fldCharType="separate"/>
          </w:r>
          <w:r>
            <w:rPr>
              <w:b/>
            </w:rPr>
            <w:t>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HYPERLINK\l_Toc21640</w:instrText>
          </w:r>
          <w:r>
            <w:rPr>
              <w:rFonts w:hint="eastAsia"/>
              <w:b/>
              <w:lang w:eastAsia="zh-CN"/>
            </w:rPr>
            <w:fldChar w:fldCharType="separate"/>
          </w:r>
          <w:r>
            <w:rPr>
              <w:rFonts w:hint="eastAsia" w:ascii="方正仿宋简体" w:hAnsi="方正仿宋简体" w:eastAsia="方正仿宋简体" w:cs="方正仿宋简体"/>
              <w:b/>
              <w:szCs w:val="32"/>
              <w:shd w:val="clear" w:color="auto" w:fill="auto"/>
              <w:lang w:val="en-US" w:eastAsia="zh-CN"/>
            </w:rPr>
            <w:t>（二）绩效评价原则、评价指标体系、评价方法、评价标准</w:t>
          </w:r>
          <w:r>
            <w:rPr>
              <w:b/>
            </w:rPr>
            <w:tab/>
          </w:r>
          <w:r>
            <w:rPr>
              <w:b/>
            </w:rPr>
            <w:fldChar w:fldCharType="begin"/>
          </w:r>
          <w:r>
            <w:rPr>
              <w:b/>
            </w:rPr>
            <w:instrText xml:space="preserve">PAGEREF_Toc21640\h</w:instrText>
          </w:r>
          <w:r>
            <w:rPr>
              <w:b/>
            </w:rPr>
            <w:fldChar w:fldCharType="separate"/>
          </w:r>
          <w:r>
            <w:rPr>
              <w:b/>
            </w:rPr>
            <w:t>9</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HYPERLINK\l_Toc2932</w:instrText>
          </w:r>
          <w:r>
            <w:rPr>
              <w:rFonts w:hint="eastAsia"/>
              <w:b/>
              <w:lang w:eastAsia="zh-CN"/>
            </w:rPr>
            <w:fldChar w:fldCharType="separate"/>
          </w:r>
          <w:r>
            <w:rPr>
              <w:rFonts w:hint="eastAsia" w:ascii="方正楷体_GBK" w:hAnsi="方正楷体_GBK" w:eastAsia="方正楷体_GBK" w:cs="方正楷体_GBK"/>
              <w:b/>
              <w:bCs w:val="0"/>
              <w:szCs w:val="32"/>
              <w:shd w:val="clear" w:color="auto" w:fill="auto"/>
              <w:lang w:val="en-US" w:eastAsia="zh-CN"/>
            </w:rPr>
            <w:t>（三）绩效评价工作过程</w:t>
          </w:r>
          <w:r>
            <w:rPr>
              <w:b/>
            </w:rPr>
            <w:tab/>
          </w:r>
          <w:r>
            <w:rPr>
              <w:b/>
            </w:rPr>
            <w:fldChar w:fldCharType="begin"/>
          </w:r>
          <w:r>
            <w:rPr>
              <w:b/>
            </w:rPr>
            <w:instrText xml:space="preserve">PAGEREF_Toc2932\h</w:instrText>
          </w:r>
          <w:r>
            <w:rPr>
              <w:b/>
            </w:rPr>
            <w:fldChar w:fldCharType="separate"/>
          </w:r>
          <w:r>
            <w:rPr>
              <w:b/>
            </w:rPr>
            <w:t>13</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HYPERLINK\l_Toc29247</w:instrText>
          </w:r>
          <w:r>
            <w:rPr>
              <w:rFonts w:hint="eastAsia"/>
              <w:b/>
              <w:lang w:eastAsia="zh-CN"/>
            </w:rPr>
            <w:fldChar w:fldCharType="separate"/>
          </w:r>
          <w:r>
            <w:rPr>
              <w:rFonts w:hint="eastAsia" w:ascii="方正黑体_GBK" w:hAnsi="方正黑体_GBK" w:eastAsia="方正黑体_GBK" w:cs="方正黑体_GBK"/>
              <w:b/>
              <w:bCs/>
              <w:szCs w:val="32"/>
              <w:shd w:val="clear" w:color="auto" w:fill="auto"/>
              <w:lang w:val="en-US" w:eastAsia="zh-CN"/>
            </w:rPr>
            <w:t>三、综合评价情况及评价结论</w:t>
          </w:r>
          <w:r>
            <w:rPr>
              <w:b/>
            </w:rPr>
            <w:tab/>
          </w:r>
          <w:r>
            <w:rPr>
              <w:b/>
            </w:rPr>
            <w:fldChar w:fldCharType="begin"/>
          </w:r>
          <w:r>
            <w:rPr>
              <w:b/>
            </w:rPr>
            <w:instrText xml:space="preserve">PAGEREF_Toc29247\h</w:instrText>
          </w:r>
          <w:r>
            <w:rPr>
              <w:b/>
            </w:rPr>
            <w:fldChar w:fldCharType="separate"/>
          </w:r>
          <w:r>
            <w:rPr>
              <w:b/>
            </w:rPr>
            <w:t>16</w:t>
          </w:r>
          <w:r>
            <w:rPr>
              <w:b/>
            </w:rPr>
            <w:fldChar w:fldCharType="end"/>
          </w:r>
          <w:r>
            <w:rPr>
              <w:rFonts w:hint="eastAsia"/>
              <w:b/>
              <w:lang w:eastAsia="zh-CN"/>
            </w:rPr>
            <w:fldChar w:fldCharType="end"/>
          </w:r>
        </w:p>
        <w:p>
          <w:pPr>
            <w:pStyle w:val="37"/>
            <w:tabs>
              <w:tab w:val="right" w:leader="dot" w:pos="8844"/>
            </w:tabs>
            <w:rPr>
              <w:rFonts w:hint="eastAsia" w:ascii="Times New Roman" w:hAnsi="Times New Roman" w:eastAsia="宋体" w:cs="Times New Roman"/>
              <w:b/>
              <w:lang w:eastAsia="zh-CN"/>
            </w:rPr>
          </w:pP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HYPERLINK\l_Toc10216</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val="en-US" w:eastAsia="zh-CN"/>
            </w:rPr>
            <w:t>（一）综合评价情况</w:t>
          </w:r>
          <w:r>
            <w:rPr>
              <w:rFonts w:hint="eastAsia" w:ascii="Times New Roman" w:hAnsi="Times New Roman" w:eastAsia="宋体" w:cs="Times New Roman"/>
              <w:b/>
              <w:lang w:eastAsia="zh-CN"/>
            </w:rPr>
            <w:tab/>
          </w: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PAGEREF_Toc10216\h</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eastAsia="zh-CN"/>
            </w:rPr>
            <w:t>16</w:t>
          </w:r>
          <w:r>
            <w:rPr>
              <w:rFonts w:hint="eastAsia" w:ascii="Times New Roman" w:hAnsi="Times New Roman" w:eastAsia="宋体" w:cs="Times New Roman"/>
              <w:b/>
              <w:lang w:eastAsia="zh-CN"/>
            </w:rPr>
            <w:fldChar w:fldCharType="end"/>
          </w:r>
          <w:r>
            <w:rPr>
              <w:rFonts w:hint="eastAsia" w:ascii="Times New Roman" w:hAnsi="Times New Roman" w:eastAsia="宋体" w:cs="Times New Roman"/>
              <w:b/>
              <w:lang w:eastAsia="zh-CN"/>
            </w:rPr>
            <w:fldChar w:fldCharType="end"/>
          </w:r>
        </w:p>
        <w:p>
          <w:pPr>
            <w:pStyle w:val="38"/>
            <w:tabs>
              <w:tab w:val="right" w:leader="dot" w:pos="8844"/>
            </w:tabs>
            <w:ind w:left="0" w:leftChars="0" w:firstLine="0" w:firstLineChars="0"/>
          </w:pPr>
          <w:r>
            <w:rPr>
              <w:rFonts w:hint="eastAsia"/>
              <w:lang w:eastAsia="zh-CN"/>
            </w:rPr>
            <w:fldChar w:fldCharType="begin"/>
          </w:r>
          <w:r>
            <w:rPr>
              <w:rFonts w:hint="eastAsia"/>
              <w:lang w:eastAsia="zh-CN"/>
            </w:rPr>
            <w:instrText xml:space="preserve">HYPERLINK\l_Toc21150</w:instrText>
          </w:r>
          <w:r>
            <w:rPr>
              <w:rFonts w:hint="eastAsia"/>
              <w:lang w:eastAsia="zh-CN"/>
            </w:rPr>
            <w:fldChar w:fldCharType="separate"/>
          </w:r>
          <w:r>
            <w:rPr>
              <w:rFonts w:hint="eastAsia" w:ascii="方正楷体_GBK" w:hAnsi="方正楷体_GBK" w:eastAsia="方正楷体_GBK" w:cs="方正楷体_GBK"/>
              <w:b/>
              <w:sz w:val="20"/>
              <w:szCs w:val="32"/>
              <w:shd w:val="clear" w:color="auto" w:fill="auto"/>
              <w:lang w:val="en-US" w:eastAsia="zh-CN"/>
            </w:rPr>
            <w:t>（</w:t>
          </w:r>
          <w:r>
            <w:rPr>
              <w:rFonts w:hint="eastAsia" w:ascii="Times New Roman" w:hAnsi="Times New Roman" w:eastAsia="宋体" w:cs="Times New Roman"/>
              <w:b/>
              <w:sz w:val="20"/>
              <w:szCs w:val="20"/>
              <w:lang w:val="en-US" w:eastAsia="zh-CN"/>
            </w:rPr>
            <w:t>二）综合评价结论</w:t>
          </w:r>
          <w:r>
            <w:rPr>
              <w:rFonts w:hint="eastAsia" w:ascii="Times New Roman" w:hAnsi="Times New Roman" w:eastAsia="宋体" w:cs="Times New Roman"/>
              <w:b/>
              <w:sz w:val="20"/>
              <w:szCs w:val="20"/>
              <w:lang w:eastAsia="zh-CN"/>
            </w:rPr>
            <w:tab/>
          </w:r>
          <w:r>
            <w:rPr>
              <w:rFonts w:hint="eastAsia" w:ascii="Times New Roman" w:hAnsi="Times New Roman" w:eastAsia="宋体" w:cs="Times New Roman"/>
              <w:b/>
              <w:sz w:val="20"/>
              <w:szCs w:val="20"/>
              <w:lang w:eastAsia="zh-CN"/>
            </w:rPr>
            <w:fldChar w:fldCharType="begin"/>
          </w:r>
          <w:r>
            <w:rPr>
              <w:rFonts w:hint="eastAsia" w:ascii="Times New Roman" w:hAnsi="Times New Roman" w:eastAsia="宋体" w:cs="Times New Roman"/>
              <w:b/>
              <w:sz w:val="20"/>
              <w:szCs w:val="20"/>
              <w:lang w:eastAsia="zh-CN"/>
            </w:rPr>
            <w:instrText xml:space="preserve">PAGEREF_Toc21150\h</w:instrText>
          </w:r>
          <w:r>
            <w:rPr>
              <w:rFonts w:hint="eastAsia" w:ascii="Times New Roman" w:hAnsi="Times New Roman" w:eastAsia="宋体" w:cs="Times New Roman"/>
              <w:b/>
              <w:sz w:val="20"/>
              <w:szCs w:val="20"/>
              <w:lang w:eastAsia="zh-CN"/>
            </w:rPr>
            <w:fldChar w:fldCharType="separate"/>
          </w:r>
          <w:r>
            <w:rPr>
              <w:rFonts w:hint="eastAsia" w:ascii="Times New Roman" w:hAnsi="Times New Roman" w:eastAsia="宋体" w:cs="Times New Roman"/>
              <w:b/>
              <w:sz w:val="20"/>
              <w:szCs w:val="20"/>
              <w:lang w:eastAsia="zh-CN"/>
            </w:rPr>
            <w:t>17</w:t>
          </w:r>
          <w:r>
            <w:rPr>
              <w:rFonts w:hint="eastAsia" w:ascii="Times New Roman" w:hAnsi="Times New Roman" w:eastAsia="宋体" w:cs="Times New Roman"/>
              <w:b/>
              <w:sz w:val="20"/>
              <w:szCs w:val="20"/>
              <w:lang w:eastAsia="zh-CN"/>
            </w:rPr>
            <w:fldChar w:fldCharType="end"/>
          </w:r>
          <w:r>
            <w:rPr>
              <w:rFonts w:hint="eastAsia"/>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HYPERLINK\l_Toc27792</w:instrText>
          </w:r>
          <w:r>
            <w:rPr>
              <w:rFonts w:hint="eastAsia"/>
              <w:b/>
              <w:lang w:eastAsia="zh-CN"/>
            </w:rPr>
            <w:fldChar w:fldCharType="separate"/>
          </w:r>
          <w:r>
            <w:rPr>
              <w:rFonts w:hint="eastAsia" w:ascii="方正黑体_GBK" w:hAnsi="方正黑体_GBK" w:eastAsia="方正黑体_GBK" w:cs="方正黑体_GBK"/>
              <w:b/>
              <w:bCs/>
              <w:szCs w:val="32"/>
              <w:shd w:val="clear" w:color="auto" w:fill="auto"/>
              <w:lang w:val="en-US" w:eastAsia="zh-CN"/>
            </w:rPr>
            <w:t>四、绩效评价指标分析</w:t>
          </w:r>
          <w:r>
            <w:rPr>
              <w:b/>
            </w:rPr>
            <w:tab/>
          </w:r>
          <w:r>
            <w:rPr>
              <w:b/>
            </w:rPr>
            <w:fldChar w:fldCharType="begin"/>
          </w:r>
          <w:r>
            <w:rPr>
              <w:b/>
            </w:rPr>
            <w:instrText xml:space="preserve">PAGEREF_Toc27792\h</w:instrText>
          </w:r>
          <w:r>
            <w:rPr>
              <w:b/>
            </w:rPr>
            <w:fldChar w:fldCharType="separate"/>
          </w:r>
          <w:r>
            <w:rPr>
              <w:b/>
            </w:rPr>
            <w:t>18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HYPERLINK\l_Toc21540</w:instrText>
          </w:r>
          <w:r>
            <w:rPr>
              <w:rFonts w:hint="eastAsia"/>
              <w:b/>
              <w:lang w:eastAsia="zh-CN"/>
            </w:rPr>
            <w:fldChar w:fldCharType="separate"/>
          </w:r>
          <w:r>
            <w:rPr>
              <w:rFonts w:hint="eastAsia" w:ascii="方正楷体_GBK" w:hAnsi="方正楷体_GBK" w:eastAsia="方正楷体_GBK" w:cs="方正楷体_GBK"/>
              <w:b/>
              <w:szCs w:val="32"/>
              <w:shd w:val="clear" w:color="auto" w:fill="auto"/>
              <w:lang w:val="en-US" w:eastAsia="zh-CN"/>
            </w:rPr>
            <w:t>（一）项目决策情况</w:t>
          </w:r>
          <w:r>
            <w:rPr>
              <w:b/>
            </w:rPr>
            <w:tab/>
          </w:r>
          <w:r>
            <w:rPr>
              <w:b/>
            </w:rPr>
            <w:fldChar w:fldCharType="begin"/>
          </w:r>
          <w:r>
            <w:rPr>
              <w:b/>
            </w:rPr>
            <w:instrText xml:space="preserve">PAGEREF_Toc21540\h</w:instrText>
          </w:r>
          <w:r>
            <w:rPr>
              <w:b/>
            </w:rPr>
            <w:fldChar w:fldCharType="separate"/>
          </w:r>
          <w:r>
            <w:rPr>
              <w:b/>
            </w:rPr>
            <w:t>18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HYPERLINK\l_Toc24784</w:instrText>
          </w:r>
          <w:r>
            <w:rPr>
              <w:rFonts w:hint="eastAsia"/>
              <w:b/>
              <w:lang w:eastAsia="zh-CN"/>
            </w:rPr>
            <w:fldChar w:fldCharType="separate"/>
          </w:r>
          <w:r>
            <w:rPr>
              <w:rFonts w:hint="eastAsia" w:ascii="方正楷体_GBK" w:hAnsi="方正楷体_GBK" w:eastAsia="方正楷体_GBK" w:cs="方正楷体_GBK"/>
              <w:b/>
              <w:szCs w:val="32"/>
              <w:shd w:val="clear" w:color="auto" w:fill="auto"/>
              <w:lang w:val="en-US" w:eastAsia="zh-CN"/>
            </w:rPr>
            <w:t>（二）项目过程情况</w:t>
          </w:r>
          <w:r>
            <w:rPr>
              <w:b/>
            </w:rPr>
            <w:tab/>
          </w:r>
          <w:r>
            <w:rPr>
              <w:b/>
            </w:rPr>
            <w:fldChar w:fldCharType="begin"/>
          </w:r>
          <w:r>
            <w:rPr>
              <w:b/>
            </w:rPr>
            <w:instrText xml:space="preserve">PAGEREF_Toc24784\h</w:instrText>
          </w:r>
          <w:r>
            <w:rPr>
              <w:b/>
            </w:rPr>
            <w:fldChar w:fldCharType="separate"/>
          </w:r>
          <w:r>
            <w:rPr>
              <w:b/>
            </w:rPr>
            <w:t>21</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HYPERLINK\l_Toc27652</w:instrText>
          </w:r>
          <w:r>
            <w:rPr>
              <w:rFonts w:hint="eastAsia"/>
              <w:b/>
              <w:lang w:eastAsia="zh-CN"/>
            </w:rPr>
            <w:fldChar w:fldCharType="separate"/>
          </w:r>
          <w:r>
            <w:rPr>
              <w:rFonts w:hint="eastAsia" w:ascii="方正楷体_GBK" w:hAnsi="方正楷体_GBK" w:eastAsia="方正楷体_GBK" w:cs="方正楷体_GBK"/>
              <w:b/>
              <w:szCs w:val="32"/>
              <w:shd w:val="clear" w:color="auto" w:fill="auto"/>
              <w:lang w:val="en-US" w:eastAsia="zh-CN"/>
            </w:rPr>
            <w:t>（三）项目产出情况</w:t>
          </w:r>
          <w:r>
            <w:rPr>
              <w:b/>
            </w:rPr>
            <w:tab/>
          </w:r>
          <w:r>
            <w:rPr>
              <w:b/>
            </w:rPr>
            <w:fldChar w:fldCharType="begin"/>
          </w:r>
          <w:r>
            <w:rPr>
              <w:b/>
            </w:rPr>
            <w:instrText xml:space="preserve">PAGEREF_Toc27652\h</w:instrText>
          </w:r>
          <w:r>
            <w:rPr>
              <w:b/>
            </w:rPr>
            <w:fldChar w:fldCharType="separate"/>
          </w:r>
          <w:r>
            <w:rPr>
              <w:b/>
            </w:rPr>
            <w:t>23</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HYPERLINK\l_Toc26783</w:instrText>
          </w:r>
          <w:r>
            <w:rPr>
              <w:rFonts w:hint="eastAsia"/>
              <w:b/>
              <w:lang w:eastAsia="zh-CN"/>
            </w:rPr>
            <w:fldChar w:fldCharType="separate"/>
          </w:r>
          <w:r>
            <w:rPr>
              <w:rFonts w:hint="eastAsia" w:ascii="方正楷体_GBK" w:hAnsi="方正楷体_GBK" w:eastAsia="方正楷体_GBK" w:cs="方正楷体_GBK"/>
              <w:b/>
              <w:szCs w:val="32"/>
              <w:shd w:val="clear" w:color="auto" w:fill="auto"/>
              <w:lang w:val="en-US" w:eastAsia="zh-CN"/>
            </w:rPr>
            <w:t>（四）项目效益情况</w:t>
          </w:r>
          <w:r>
            <w:rPr>
              <w:b/>
            </w:rPr>
            <w:tab/>
          </w:r>
          <w:r>
            <w:rPr>
              <w:b/>
            </w:rPr>
            <w:fldChar w:fldCharType="begin"/>
          </w:r>
          <w:r>
            <w:rPr>
              <w:b/>
            </w:rPr>
            <w:instrText xml:space="preserve">PAGEREF_Toc26783\h</w:instrText>
          </w:r>
          <w:r>
            <w:rPr>
              <w:b/>
            </w:rPr>
            <w:fldChar w:fldCharType="separate"/>
          </w:r>
          <w:r>
            <w:rPr>
              <w:b/>
            </w:rPr>
            <w:t>25</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HYPERLINK\l_Toc3328</w:instrText>
          </w:r>
          <w:r>
            <w:rPr>
              <w:rFonts w:hint="eastAsia"/>
              <w:b/>
              <w:lang w:eastAsia="zh-CN"/>
            </w:rPr>
            <w:fldChar w:fldCharType="separate"/>
          </w:r>
          <w:r>
            <w:rPr>
              <w:rFonts w:hint="eastAsia" w:ascii="方正黑体_GBK" w:hAnsi="方正黑体_GBK" w:eastAsia="方正黑体_GBK" w:cs="方正黑体_GBK"/>
              <w:b/>
              <w:bCs/>
              <w:szCs w:val="32"/>
              <w:shd w:val="clear" w:color="auto" w:fill="auto"/>
              <w:lang w:val="en-US" w:eastAsia="zh-CN"/>
            </w:rPr>
            <w:t>五、主要经验及做法、存在的问题及原因分析</w:t>
          </w:r>
          <w:r>
            <w:rPr>
              <w:b/>
            </w:rPr>
            <w:tab/>
          </w:r>
          <w:r>
            <w:rPr>
              <w:b/>
            </w:rPr>
            <w:fldChar w:fldCharType="begin"/>
          </w:r>
          <w:r>
            <w:rPr>
              <w:b/>
            </w:rPr>
            <w:instrText xml:space="preserve">PAGEREF_Toc3328\h</w:instrText>
          </w:r>
          <w:r>
            <w:rPr>
              <w:b/>
            </w:rPr>
            <w:fldChar w:fldCharType="separate"/>
          </w:r>
          <w:r>
            <w:rPr>
              <w:b/>
            </w:rPr>
            <w:t>26</w:t>
          </w:r>
          <w:r>
            <w:rPr>
              <w:b/>
            </w:rPr>
            <w:fldChar w:fldCharType="end"/>
          </w:r>
          <w:r>
            <w:rPr>
              <w:rFonts w:hint="eastAsia"/>
              <w:b/>
              <w:lang w:eastAsia="zh-CN"/>
            </w:rPr>
            <w:fldChar w:fldCharType="end"/>
          </w:r>
        </w:p>
        <w:p>
          <w:pPr>
            <w:pStyle w:val="37"/>
            <w:tabs>
              <w:tab w:val="right" w:leader="dot" w:pos="8844"/>
            </w:tabs>
            <w:rPr>
              <w:rFonts w:hint="eastAsia" w:ascii="Times New Roman" w:hAnsi="Times New Roman" w:eastAsia="宋体" w:cs="Times New Roman"/>
              <w:b/>
              <w:lang w:eastAsia="zh-CN"/>
            </w:rPr>
          </w:pP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HYPERLINK\l_Toc2025</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val="zh-CN" w:eastAsia="zh-CN"/>
            </w:rPr>
            <w:t>（一）主要经验及做法</w:t>
          </w:r>
          <w:r>
            <w:rPr>
              <w:rFonts w:hint="eastAsia" w:ascii="Times New Roman" w:hAnsi="Times New Roman" w:eastAsia="宋体" w:cs="Times New Roman"/>
              <w:b/>
              <w:lang w:eastAsia="zh-CN"/>
            </w:rPr>
            <w:tab/>
          </w: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PAGEREF_Toc2025\h</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eastAsia="zh-CN"/>
            </w:rPr>
            <w:t>26</w:t>
          </w:r>
          <w:r>
            <w:rPr>
              <w:rFonts w:hint="eastAsia" w:ascii="Times New Roman" w:hAnsi="Times New Roman" w:eastAsia="宋体" w:cs="Times New Roman"/>
              <w:b/>
              <w:lang w:eastAsia="zh-CN"/>
            </w:rPr>
            <w:fldChar w:fldCharType="end"/>
          </w:r>
          <w:r>
            <w:rPr>
              <w:rFonts w:hint="eastAsia" w:ascii="Times New Roman" w:hAnsi="Times New Roman" w:eastAsia="宋体" w:cs="Times New Roman"/>
              <w:b/>
              <w:lang w:eastAsia="zh-CN"/>
            </w:rPr>
            <w:fldChar w:fldCharType="end"/>
          </w:r>
        </w:p>
        <w:p>
          <w:pPr>
            <w:pStyle w:val="37"/>
            <w:tabs>
              <w:tab w:val="right" w:leader="dot" w:pos="8844"/>
            </w:tabs>
            <w:rPr>
              <w:rFonts w:hint="eastAsia" w:ascii="Times New Roman" w:hAnsi="Times New Roman" w:eastAsia="宋体" w:cs="Times New Roman"/>
              <w:b/>
              <w:lang w:eastAsia="zh-CN"/>
            </w:rPr>
          </w:pP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HYPERLINK\l_Toc31447</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val="en-US" w:eastAsia="zh-CN"/>
            </w:rPr>
            <w:t>（二）存在问题及原因分析</w:t>
          </w:r>
          <w:r>
            <w:rPr>
              <w:rFonts w:hint="eastAsia" w:ascii="Times New Roman" w:hAnsi="Times New Roman" w:eastAsia="宋体" w:cs="Times New Roman"/>
              <w:b/>
              <w:lang w:eastAsia="zh-CN"/>
            </w:rPr>
            <w:tab/>
          </w:r>
          <w:r>
            <w:rPr>
              <w:rFonts w:hint="eastAsia" w:ascii="Times New Roman" w:hAnsi="Times New Roman" w:eastAsia="宋体" w:cs="Times New Roman"/>
              <w:b/>
              <w:lang w:eastAsia="zh-CN"/>
            </w:rPr>
            <w:fldChar w:fldCharType="begin"/>
          </w:r>
          <w:r>
            <w:rPr>
              <w:rFonts w:hint="eastAsia" w:ascii="Times New Roman" w:hAnsi="Times New Roman" w:eastAsia="宋体" w:cs="Times New Roman"/>
              <w:b/>
              <w:lang w:eastAsia="zh-CN"/>
            </w:rPr>
            <w:instrText xml:space="preserve">PAGEREF_Toc31447\h</w:instrText>
          </w:r>
          <w:r>
            <w:rPr>
              <w:rFonts w:hint="eastAsia" w:ascii="Times New Roman" w:hAnsi="Times New Roman" w:eastAsia="宋体" w:cs="Times New Roman"/>
              <w:b/>
              <w:lang w:eastAsia="zh-CN"/>
            </w:rPr>
            <w:fldChar w:fldCharType="separate"/>
          </w:r>
          <w:r>
            <w:rPr>
              <w:rFonts w:hint="eastAsia" w:ascii="Times New Roman" w:hAnsi="Times New Roman" w:eastAsia="宋体" w:cs="Times New Roman"/>
              <w:b/>
              <w:lang w:eastAsia="zh-CN"/>
            </w:rPr>
            <w:t>27</w:t>
          </w:r>
          <w:r>
            <w:rPr>
              <w:rFonts w:hint="eastAsia" w:ascii="Times New Roman" w:hAnsi="Times New Roman" w:eastAsia="宋体" w:cs="Times New Roman"/>
              <w:b/>
              <w:lang w:eastAsia="zh-CN"/>
            </w:rPr>
            <w:fldChar w:fldCharType="end"/>
          </w:r>
          <w:r>
            <w:rPr>
              <w:rFonts w:hint="eastAsia" w:ascii="Times New Roman" w:hAnsi="Times New Roman" w:eastAsia="宋体" w:cs="Times New Roman"/>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HYPERLINK\l_Toc636</w:instrText>
          </w:r>
          <w:r>
            <w:rPr>
              <w:rFonts w:hint="eastAsia"/>
              <w:b/>
              <w:lang w:eastAsia="zh-CN"/>
            </w:rPr>
            <w:fldChar w:fldCharType="separate"/>
          </w:r>
          <w:r>
            <w:rPr>
              <w:rFonts w:hint="eastAsia" w:ascii="方正黑体_GBK" w:hAnsi="方正黑体_GBK" w:eastAsia="方正黑体_GBK" w:cs="方正黑体_GBK"/>
              <w:b/>
              <w:bCs/>
              <w:szCs w:val="32"/>
              <w:shd w:val="clear" w:color="auto" w:fill="auto"/>
              <w:lang w:val="en-US" w:eastAsia="zh-CN"/>
            </w:rPr>
            <w:t>六、</w:t>
          </w:r>
          <w:r>
            <w:rPr>
              <w:rFonts w:hint="eastAsia" w:ascii="方正黑体_GBK" w:hAnsi="方正黑体_GBK" w:eastAsia="方正黑体_GBK" w:cs="方正黑体_GBK"/>
              <w:b/>
              <w:bCs/>
              <w:szCs w:val="32"/>
              <w:shd w:val="clear" w:color="auto" w:fill="auto"/>
              <w:lang w:val="zh-CN" w:eastAsia="zh-CN"/>
            </w:rPr>
            <w:t>有关建议</w:t>
          </w:r>
          <w:r>
            <w:rPr>
              <w:b/>
            </w:rPr>
            <w:tab/>
          </w:r>
          <w:r>
            <w:rPr>
              <w:b/>
            </w:rPr>
            <w:fldChar w:fldCharType="begin"/>
          </w:r>
          <w:r>
            <w:rPr>
              <w:b/>
            </w:rPr>
            <w:instrText xml:space="preserve">PAGEREF_Toc636\h</w:instrText>
          </w:r>
          <w:r>
            <w:rPr>
              <w:b/>
            </w:rPr>
            <w:fldChar w:fldCharType="separate"/>
          </w:r>
          <w:r>
            <w:rPr>
              <w:b/>
            </w:rPr>
            <w:t>27</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HYPERLINK\l_Toc15403</w:instrText>
          </w:r>
          <w:r>
            <w:rPr>
              <w:rFonts w:hint="eastAsia"/>
              <w:b/>
              <w:lang w:eastAsia="zh-CN"/>
            </w:rPr>
            <w:fldChar w:fldCharType="separate"/>
          </w:r>
          <w:r>
            <w:rPr>
              <w:rFonts w:hint="eastAsia" w:ascii="方正黑体_GBK" w:hAnsi="方正黑体_GBK" w:eastAsia="方正黑体_GBK" w:cs="方正黑体_GBK"/>
              <w:b/>
              <w:szCs w:val="32"/>
              <w:shd w:val="clear" w:color="auto" w:fill="auto"/>
              <w:lang w:val="en-US" w:eastAsia="zh-CN"/>
            </w:rPr>
            <w:t>七、其他需要说明的问题</w:t>
          </w:r>
          <w:r>
            <w:rPr>
              <w:b/>
            </w:rPr>
            <w:tab/>
          </w:r>
          <w:r>
            <w:rPr>
              <w:b/>
            </w:rPr>
            <w:fldChar w:fldCharType="begin"/>
          </w:r>
          <w:r>
            <w:rPr>
              <w:b/>
            </w:rPr>
            <w:instrText xml:space="preserve">PAGEREF_Toc15403\h</w:instrText>
          </w:r>
          <w:r>
            <w:rPr>
              <w:b/>
            </w:rPr>
            <w:fldChar w:fldCharType="separate"/>
          </w:r>
          <w:r>
            <w:rPr>
              <w:b/>
            </w:rPr>
            <w:t>28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HYPERLINK\l_Toc19941</w:instrText>
          </w:r>
          <w:r>
            <w:rPr>
              <w:rFonts w:hint="eastAsia"/>
              <w:b/>
              <w:lang w:eastAsia="zh-CN"/>
            </w:rPr>
            <w:fldChar w:fldCharType="separate"/>
          </w:r>
          <w:r>
            <w:rPr>
              <w:rFonts w:hint="eastAsia" w:ascii="Times New Roman" w:hAnsi="Times New Roman" w:eastAsia="方正黑体_GBK" w:cs="方正黑体_GBK"/>
              <w:b/>
              <w:szCs w:val="32"/>
              <w:lang w:val="en-US" w:eastAsia="zh-CN"/>
            </w:rPr>
            <w:t>八、绩效评价结果应用建议</w:t>
          </w:r>
          <w:r>
            <w:rPr>
              <w:b/>
            </w:rPr>
            <w:tab/>
          </w:r>
          <w:r>
            <w:rPr>
              <w:b/>
            </w:rPr>
            <w:fldChar w:fldCharType="begin"/>
          </w:r>
          <w:r>
            <w:rPr>
              <w:b/>
            </w:rPr>
            <w:instrText xml:space="preserve">PAGEREF_Toc19941\h</w:instrText>
          </w:r>
          <w:r>
            <w:rPr>
              <w:b/>
            </w:rPr>
            <w:fldChar w:fldCharType="separate"/>
          </w:r>
          <w:r>
            <w:rPr>
              <w:b/>
            </w:rPr>
            <w:t>28</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HYPERLINK\l_Toc27034</w:instrText>
          </w:r>
          <w:r>
            <w:rPr>
              <w:rFonts w:hint="eastAsia"/>
              <w:b/>
              <w:lang w:eastAsia="zh-CN"/>
            </w:rPr>
            <w:fldChar w:fldCharType="separate"/>
          </w:r>
          <w:r>
            <w:rPr>
              <w:rFonts w:hint="eastAsia" w:ascii="楷体_GB2312" w:hAnsi="楷体_GB2312" w:eastAsia="楷体_GB2312" w:cs="楷体_GB2312"/>
              <w:b/>
              <w:bCs/>
              <w:kern w:val="2"/>
              <w:szCs w:val="32"/>
              <w:lang w:val="en-US" w:eastAsia="zh-CN" w:bidi="ar-SA"/>
            </w:rPr>
            <w:t>附件1：莎车县基础教育设施设备提升（“优分优育”计划）项目绩效评价指标综合评分表</w:t>
          </w:r>
          <w:r>
            <w:rPr>
              <w:b/>
            </w:rPr>
            <w:tab/>
          </w:r>
          <w:r>
            <w:rPr>
              <w:b/>
            </w:rPr>
            <w:fldChar w:fldCharType="begin"/>
          </w:r>
          <w:r>
            <w:rPr>
              <w:b/>
            </w:rPr>
            <w:instrText xml:space="preserve">PAGEREF_Toc27034\h</w:instrText>
          </w:r>
          <w:r>
            <w:rPr>
              <w:b/>
            </w:rPr>
            <w:fldChar w:fldCharType="separate"/>
          </w:r>
          <w:r>
            <w:rPr>
              <w:b/>
            </w:rPr>
            <w:t>3</w:t>
          </w:r>
          <w:r>
            <w:rPr>
              <w:rFonts w:hint="eastAsia"/>
              <w:b/>
              <w:lang w:val="en-US" w:eastAsia="zh-CN"/>
            </w:rPr>
            <w:t>1</w:t>
          </w:r>
          <w:r>
            <w:rPr>
              <w:b/>
            </w:rPr>
            <w:fldChar w:fldCharType="end"/>
          </w:r>
          <w:r>
            <w:rPr>
              <w:rFonts w:hint="eastAsia"/>
              <w:b/>
              <w:lang w:eastAsia="zh-CN"/>
            </w:rPr>
            <w:fldChar w:fldCharType="end"/>
          </w:r>
        </w:p>
        <w:p>
          <w:pPr>
            <w:pStyle w:val="37"/>
            <w:tabs>
              <w:tab w:val="right" w:leader="dot" w:pos="8844"/>
            </w:tabs>
            <w:rPr>
              <w:rFonts w:hint="default"/>
              <w:b/>
              <w:lang w:val="en-US"/>
            </w:rPr>
          </w:pPr>
          <w:r>
            <w:rPr>
              <w:rFonts w:hint="eastAsia"/>
              <w:b/>
              <w:lang w:eastAsia="zh-CN"/>
            </w:rPr>
            <w:fldChar w:fldCharType="begin"/>
          </w:r>
          <w:r>
            <w:rPr>
              <w:rFonts w:hint="eastAsia"/>
              <w:b/>
              <w:lang w:eastAsia="zh-CN"/>
            </w:rPr>
            <w:instrText xml:space="preserve">HYPERLINK\l_Toc20747</w:instrText>
          </w:r>
          <w:r>
            <w:rPr>
              <w:rFonts w:hint="eastAsia"/>
              <w:b/>
              <w:lang w:eastAsia="zh-CN"/>
            </w:rPr>
            <w:fldChar w:fldCharType="separate"/>
          </w:r>
          <w:r>
            <w:rPr>
              <w:rFonts w:hint="eastAsia" w:ascii="方正仿宋_GBK" w:hAnsi="方正仿宋_GBK" w:eastAsia="方正仿宋_GBK" w:cs="方正仿宋_GBK"/>
              <w:b/>
              <w:bCs/>
              <w:szCs w:val="32"/>
              <w:lang w:val="en-US" w:eastAsia="zh-CN"/>
            </w:rPr>
            <w:t>附件2：莎车县基础教育设施设备提升（“优分优育”计划）项目基础信息采集表</w:t>
          </w:r>
          <w:r>
            <w:rPr>
              <w:b/>
            </w:rPr>
            <w:tab/>
          </w:r>
          <w:r>
            <w:rPr>
              <w:rFonts w:hint="eastAsia"/>
              <w:b/>
              <w:lang w:val="en-US" w:eastAsia="zh-CN"/>
            </w:rPr>
            <w:t>3</w:t>
          </w:r>
          <w:r>
            <w:rPr>
              <w:rFonts w:hint="eastAsia"/>
              <w:b/>
              <w:lang w:eastAsia="zh-CN"/>
            </w:rPr>
            <w:fldChar w:fldCharType="end"/>
          </w:r>
          <w:r>
            <w:rPr>
              <w:rFonts w:hint="eastAsia"/>
              <w:b/>
              <w:lang w:val="en-US" w:eastAsia="zh-CN"/>
            </w:rPr>
            <w:t>9</w:t>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HYPERLINK\l_Toc8395</w:instrText>
          </w:r>
          <w:r>
            <w:rPr>
              <w:rFonts w:hint="eastAsia"/>
              <w:b/>
              <w:lang w:eastAsia="zh-CN"/>
            </w:rPr>
            <w:fldChar w:fldCharType="separate"/>
          </w:r>
          <w:r>
            <w:rPr>
              <w:rFonts w:hint="eastAsia" w:ascii="方正仿宋_GBK" w:hAnsi="方正仿宋_GBK" w:eastAsia="方正仿宋_GBK" w:cs="方正仿宋_GBK"/>
              <w:b/>
              <w:bCs/>
              <w:szCs w:val="32"/>
              <w:lang w:val="en-US" w:eastAsia="zh-CN"/>
            </w:rPr>
            <w:t>附件3：访谈记录</w:t>
          </w:r>
          <w:r>
            <w:rPr>
              <w:b/>
            </w:rPr>
            <w:tab/>
          </w:r>
          <w:r>
            <w:rPr>
              <w:b/>
            </w:rPr>
            <w:fldChar w:fldCharType="begin"/>
          </w:r>
          <w:r>
            <w:rPr>
              <w:b/>
            </w:rPr>
            <w:instrText xml:space="preserve">PAGEREF_Toc8395\h</w:instrText>
          </w:r>
          <w:r>
            <w:rPr>
              <w:b/>
            </w:rPr>
            <w:fldChar w:fldCharType="separate"/>
          </w:r>
          <w:r>
            <w:rPr>
              <w:b/>
            </w:rPr>
            <w:t>4</w:t>
          </w:r>
          <w:r>
            <w:rPr>
              <w:rFonts w:hint="eastAsia"/>
              <w:b/>
              <w:lang w:val="en-US" w:eastAsia="zh-CN"/>
            </w:rPr>
            <w:t>0</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HYPERLINK\l_Toc20421</w:instrText>
          </w:r>
          <w:r>
            <w:rPr>
              <w:rFonts w:hint="eastAsia"/>
              <w:b/>
              <w:lang w:eastAsia="zh-CN"/>
            </w:rPr>
            <w:fldChar w:fldCharType="separate"/>
          </w:r>
          <w:r>
            <w:rPr>
              <w:rFonts w:hint="eastAsia" w:ascii="方正仿宋_GBK" w:hAnsi="方正仿宋_GBK" w:eastAsia="方正仿宋_GBK" w:cs="方正仿宋_GBK"/>
              <w:b/>
              <w:bCs/>
              <w:lang w:val="en-US" w:eastAsia="zh-CN"/>
            </w:rPr>
            <w:t>附件4：财政局绩效评价报告确认单</w:t>
          </w:r>
          <w:r>
            <w:rPr>
              <w:b/>
            </w:rPr>
            <w:tab/>
          </w:r>
          <w:r>
            <w:rPr>
              <w:b/>
            </w:rPr>
            <w:fldChar w:fldCharType="begin"/>
          </w:r>
          <w:r>
            <w:rPr>
              <w:b/>
            </w:rPr>
            <w:instrText xml:space="preserve">PAGEREF_Toc20421\h</w:instrText>
          </w:r>
          <w:r>
            <w:rPr>
              <w:b/>
            </w:rPr>
            <w:fldChar w:fldCharType="separate"/>
          </w:r>
          <w:r>
            <w:rPr>
              <w:b/>
            </w:rPr>
            <w:t>4</w:t>
          </w:r>
          <w:r>
            <w:rPr>
              <w:rFonts w:hint="eastAsia"/>
              <w:b/>
              <w:lang w:val="en-US" w:eastAsia="zh-CN"/>
            </w:rPr>
            <w:t>1</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HYPERLINK\l_Toc5843</w:instrText>
          </w:r>
          <w:r>
            <w:rPr>
              <w:rFonts w:hint="eastAsia"/>
              <w:b/>
              <w:lang w:eastAsia="zh-CN"/>
            </w:rPr>
            <w:fldChar w:fldCharType="separate"/>
          </w:r>
          <w:r>
            <w:rPr>
              <w:rFonts w:hint="eastAsia" w:ascii="方正仿宋_GBK" w:hAnsi="方正仿宋_GBK" w:eastAsia="方正仿宋_GBK" w:cs="方正仿宋_GBK"/>
              <w:b/>
              <w:bCs/>
              <w:szCs w:val="32"/>
              <w:lang w:val="en-US" w:eastAsia="zh-CN"/>
            </w:rPr>
            <w:t>附件5：预算单位绩效评价报告确认单</w:t>
          </w:r>
          <w:r>
            <w:rPr>
              <w:b/>
            </w:rPr>
            <w:tab/>
          </w:r>
          <w:r>
            <w:rPr>
              <w:b/>
            </w:rPr>
            <w:fldChar w:fldCharType="begin"/>
          </w:r>
          <w:r>
            <w:rPr>
              <w:b/>
            </w:rPr>
            <w:instrText xml:space="preserve">PAGEREF_Toc5843\h</w:instrText>
          </w:r>
          <w:r>
            <w:rPr>
              <w:b/>
            </w:rPr>
            <w:fldChar w:fldCharType="separate"/>
          </w:r>
          <w:r>
            <w:rPr>
              <w:b/>
            </w:rPr>
            <w:t>4</w:t>
          </w:r>
          <w:r>
            <w:rPr>
              <w:rFonts w:hint="eastAsia"/>
              <w:b/>
              <w:lang w:val="en-US" w:eastAsia="zh-CN"/>
            </w:rPr>
            <w:t>2</w:t>
          </w:r>
          <w:r>
            <w:rPr>
              <w:b/>
            </w:rPr>
            <w:fldChar w:fldCharType="end"/>
          </w:r>
          <w:r>
            <w:rPr>
              <w:rFonts w:hint="eastAsia"/>
              <w:b/>
              <w:lang w:eastAsia="zh-CN"/>
            </w:rPr>
            <w:fldChar w:fldCharType="end"/>
          </w:r>
        </w:p>
        <w:p>
          <w:pPr>
            <w:pStyle w:val="37"/>
            <w:tabs>
              <w:tab w:val="right" w:leader="dot" w:pos="8844"/>
            </w:tabs>
            <w:rPr>
              <w:b/>
            </w:rPr>
          </w:pPr>
          <w:r>
            <w:rPr>
              <w:rFonts w:hint="eastAsia"/>
              <w:b/>
              <w:lang w:eastAsia="zh-CN"/>
            </w:rPr>
            <w:fldChar w:fldCharType="begin"/>
          </w:r>
          <w:r>
            <w:rPr>
              <w:rFonts w:hint="eastAsia"/>
              <w:b/>
              <w:lang w:eastAsia="zh-CN"/>
            </w:rPr>
            <w:instrText xml:space="preserve">HYPERLINK\l_Toc31140</w:instrText>
          </w:r>
          <w:r>
            <w:rPr>
              <w:rFonts w:hint="eastAsia"/>
              <w:b/>
              <w:lang w:eastAsia="zh-CN"/>
            </w:rPr>
            <w:fldChar w:fldCharType="separate"/>
          </w:r>
          <w:r>
            <w:rPr>
              <w:rFonts w:hint="eastAsia" w:ascii="方正仿宋_GBK" w:hAnsi="方正仿宋_GBK" w:eastAsia="方正仿宋_GBK" w:cs="方正仿宋_GBK"/>
              <w:b/>
              <w:bCs/>
              <w:szCs w:val="32"/>
            </w:rPr>
            <w:t>附件6：调查问卷结果分析报告及调查问卷样表</w:t>
          </w:r>
          <w:r>
            <w:rPr>
              <w:b/>
            </w:rPr>
            <w:tab/>
          </w:r>
          <w:r>
            <w:rPr>
              <w:b/>
            </w:rPr>
            <w:fldChar w:fldCharType="begin"/>
          </w:r>
          <w:r>
            <w:rPr>
              <w:b/>
            </w:rPr>
            <w:instrText xml:space="preserve">PAGEREF_Toc31140\h</w:instrText>
          </w:r>
          <w:r>
            <w:rPr>
              <w:b/>
            </w:rPr>
            <w:fldChar w:fldCharType="separate"/>
          </w:r>
          <w:r>
            <w:rPr>
              <w:b/>
            </w:rPr>
            <w:t>4</w:t>
          </w:r>
          <w:r>
            <w:rPr>
              <w:rFonts w:hint="eastAsia"/>
              <w:b/>
              <w:lang w:val="en-US" w:eastAsia="zh-CN"/>
            </w:rPr>
            <w:t>3</w:t>
          </w:r>
          <w:r>
            <w:rPr>
              <w:b/>
            </w:rPr>
            <w:fldChar w:fldCharType="end"/>
          </w:r>
          <w:r>
            <w:rPr>
              <w:rFonts w:hint="eastAsia"/>
              <w:b/>
              <w:lang w:eastAsia="zh-CN"/>
            </w:rPr>
            <w:fldChar w:fldCharType="end"/>
          </w:r>
        </w:p>
        <w:p>
          <w:pPr>
            <w:pStyle w:val="37"/>
            <w:tabs>
              <w:tab w:val="right" w:leader="dot" w:pos="8844"/>
            </w:tabs>
            <w:rPr>
              <w:rFonts w:hint="default"/>
              <w:b/>
              <w:lang w:val="en-US"/>
            </w:rPr>
          </w:pPr>
          <w:r>
            <w:rPr>
              <w:rFonts w:hint="eastAsia"/>
              <w:b/>
              <w:lang w:eastAsia="zh-CN"/>
            </w:rPr>
            <w:fldChar w:fldCharType="begin"/>
          </w:r>
          <w:r>
            <w:rPr>
              <w:rFonts w:hint="eastAsia"/>
              <w:b/>
              <w:lang w:eastAsia="zh-CN"/>
            </w:rPr>
            <w:instrText xml:space="preserve">HYPERLINK\l_Toc12364</w:instrText>
          </w:r>
          <w:r>
            <w:rPr>
              <w:rFonts w:hint="eastAsia"/>
              <w:b/>
              <w:lang w:eastAsia="zh-CN"/>
            </w:rPr>
            <w:fldChar w:fldCharType="separate"/>
          </w:r>
          <w:r>
            <w:rPr>
              <w:rFonts w:hint="eastAsia" w:ascii="方正仿宋_GBK" w:hAnsi="方正仿宋_GBK" w:eastAsia="方正仿宋_GBK" w:cs="方正仿宋_GBK"/>
              <w:b/>
              <w:bCs/>
              <w:szCs w:val="32"/>
              <w:lang w:val="en-US" w:eastAsia="zh-CN"/>
            </w:rPr>
            <w:t>附件7：工作记录图片</w:t>
          </w:r>
          <w:r>
            <w:rPr>
              <w:b/>
            </w:rPr>
            <w:tab/>
          </w:r>
          <w:r>
            <w:rPr>
              <w:rFonts w:hint="eastAsia"/>
              <w:b/>
              <w:lang w:val="en-US" w:eastAsia="zh-CN"/>
            </w:rPr>
            <w:t>4</w:t>
          </w:r>
          <w:r>
            <w:rPr>
              <w:rFonts w:hint="eastAsia"/>
              <w:b/>
              <w:lang w:eastAsia="zh-CN"/>
            </w:rPr>
            <w:fldChar w:fldCharType="end"/>
          </w:r>
          <w:r>
            <w:rPr>
              <w:rFonts w:hint="eastAsia"/>
              <w:b/>
              <w:lang w:val="en-US" w:eastAsia="zh-CN"/>
            </w:rPr>
            <w:t>5</w:t>
          </w:r>
        </w:p>
        <w:p>
          <w:pPr>
            <w:pStyle w:val="4"/>
            <w:rPr>
              <w:rFonts w:hint="eastAsia"/>
              <w:lang w:eastAsia="zh-CN"/>
            </w:rPr>
            <w:sectPr>
              <w:footerReference r:id="rId6" w:type="default"/>
              <w:pgSz w:w="11906" w:h="16838"/>
              <w:pgMar w:top="1984" w:right="1531" w:bottom="1701" w:left="1531" w:header="851" w:footer="1304" w:gutter="0"/>
              <w:pgNumType w:fmt="decimal" w:start="1"/>
              <w:cols w:space="425" w:num="1"/>
              <w:docGrid w:type="lines" w:linePitch="312" w:charSpace="0"/>
            </w:sectPr>
          </w:pPr>
          <w:r>
            <w:rPr>
              <w:rFonts w:hint="eastAsia"/>
              <w:b/>
              <w:lang w:eastAsia="zh-CN"/>
            </w:rPr>
            <w:fldChar w:fldCharType="end"/>
          </w:r>
        </w:p>
      </w:sdtContent>
    </w:sdt>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jc w:val="center"/>
        <w:textAlignment w:val="auto"/>
        <w:rPr>
          <w:rFonts w:hint="eastAsia" w:ascii="方正小标宋_GBK" w:hAnsi="方正小标宋_GBK" w:eastAsia="方正小标宋_GBK" w:cs="方正小标宋_GBK"/>
          <w:b/>
          <w:bCs w:val="0"/>
          <w:color w:val="auto"/>
          <w:spacing w:val="-1"/>
          <w:sz w:val="40"/>
          <w:szCs w:val="40"/>
          <w:shd w:val="clear" w:color="auto" w:fill="auto"/>
          <w:lang w:eastAsia="zh-CN"/>
        </w:rPr>
      </w:pPr>
      <w:bookmarkStart w:id="81" w:name="_Toc9758"/>
      <w:bookmarkStart w:id="82" w:name="_Toc15766"/>
      <w:r>
        <w:rPr>
          <w:rFonts w:hint="eastAsia" w:ascii="方正小标宋_GBK" w:hAnsi="方正小标宋_GBK" w:eastAsia="方正小标宋_GBK" w:cs="方正小标宋_GBK"/>
          <w:b/>
          <w:bCs w:val="0"/>
          <w:color w:val="auto"/>
          <w:spacing w:val="-1"/>
          <w:sz w:val="40"/>
          <w:szCs w:val="40"/>
          <w:shd w:val="clear" w:color="auto" w:fill="auto"/>
          <w:lang w:eastAsia="zh-CN"/>
        </w:rPr>
        <w:t>莎车县基础教育设施设备提升（“优分优育”计划）项目绩效评价报告</w:t>
      </w:r>
      <w:bookmarkEnd w:id="81"/>
      <w:bookmarkEnd w:id="82"/>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jc w:val="center"/>
        <w:textAlignment w:val="auto"/>
        <w:outlineLvl w:val="9"/>
        <w:rPr>
          <w:rFonts w:hint="eastAsia" w:ascii="方正仿宋_GBK" w:hAnsi="方正仿宋_GBK" w:eastAsia="方正仿宋_GBK" w:cs="方正仿宋_GBK"/>
          <w:b w:val="0"/>
          <w:bCs/>
          <w:color w:val="auto"/>
          <w:spacing w:val="-1"/>
          <w:sz w:val="32"/>
          <w:szCs w:val="32"/>
          <w:shd w:val="clear" w:color="auto" w:fill="auto"/>
          <w:lang w:eastAsia="zh-CN"/>
        </w:rPr>
      </w:pP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rPr>
          <w:rFonts w:hint="eastAsia" w:ascii="方正仿宋_GBK" w:hAnsi="方正仿宋_GBK" w:eastAsia="方正仿宋_GBK" w:cs="方正仿宋_GBK"/>
          <w:b w:val="0"/>
          <w:bCs/>
          <w:color w:val="auto"/>
          <w:spacing w:val="-1"/>
          <w:sz w:val="32"/>
          <w:szCs w:val="32"/>
          <w:shd w:val="clear" w:color="auto" w:fill="auto"/>
        </w:rPr>
      </w:pPr>
      <w:bookmarkStart w:id="83" w:name="_Toc13676"/>
      <w:bookmarkStart w:id="84" w:name="_Toc27494"/>
      <w:r>
        <w:rPr>
          <w:rFonts w:hint="eastAsia" w:ascii="方正仿宋_GBK" w:hAnsi="方正仿宋_GBK" w:eastAsia="方正仿宋_GBK" w:cs="方正仿宋_GBK"/>
          <w:b w:val="0"/>
          <w:bCs/>
          <w:color w:val="auto"/>
          <w:spacing w:val="-1"/>
          <w:sz w:val="32"/>
          <w:szCs w:val="32"/>
          <w:shd w:val="clear" w:color="auto" w:fill="auto"/>
          <w:lang w:eastAsia="zh-CN"/>
        </w:rPr>
        <w:t>莎车县</w:t>
      </w:r>
      <w:r>
        <w:rPr>
          <w:rFonts w:hint="eastAsia" w:ascii="方正仿宋_GBK" w:hAnsi="方正仿宋_GBK" w:eastAsia="方正仿宋_GBK" w:cs="方正仿宋_GBK"/>
          <w:b w:val="0"/>
          <w:bCs/>
          <w:color w:val="auto"/>
          <w:spacing w:val="-1"/>
          <w:sz w:val="32"/>
          <w:szCs w:val="32"/>
          <w:shd w:val="clear" w:color="auto" w:fill="auto"/>
        </w:rPr>
        <w:t>财政局：</w:t>
      </w:r>
      <w:bookmarkEnd w:id="83"/>
      <w:bookmarkEnd w:id="84"/>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rPr>
      </w:pPr>
      <w:bookmarkStart w:id="85" w:name="_Toc30255"/>
      <w:bookmarkStart w:id="86" w:name="_Toc30566"/>
      <w:r>
        <w:rPr>
          <w:rFonts w:hint="eastAsia" w:ascii="方正仿宋_GBK" w:hAnsi="方正仿宋_GBK" w:eastAsia="方正仿宋_GBK" w:cs="方正仿宋_GBK"/>
          <w:b w:val="0"/>
          <w:bCs/>
          <w:color w:val="auto"/>
          <w:spacing w:val="-1"/>
          <w:sz w:val="32"/>
          <w:szCs w:val="32"/>
          <w:shd w:val="clear" w:color="auto" w:fill="auto"/>
        </w:rPr>
        <w:t>为贯彻落实全面推进预算绩效管理工作的要求，完善部门预算管理，强化预算支出责任，提高财政资金的使用效益，根据《中华人民共和国预算法》</w:t>
      </w:r>
      <w:r>
        <w:rPr>
          <w:rFonts w:hint="eastAsia" w:ascii="方正仿宋_GBK" w:hAnsi="方正仿宋_GBK" w:eastAsia="方正仿宋_GBK" w:cs="方正仿宋_GBK"/>
          <w:b w:val="0"/>
          <w:bCs/>
          <w:color w:val="auto"/>
          <w:spacing w:val="-1"/>
          <w:sz w:val="32"/>
          <w:szCs w:val="32"/>
          <w:shd w:val="clear" w:color="auto" w:fill="auto"/>
          <w:lang w:eastAsia="zh-CN"/>
        </w:rPr>
        <w:t>《中共中央国务院</w:t>
      </w:r>
      <w:r>
        <w:rPr>
          <w:rFonts w:hint="eastAsia" w:ascii="方正仿宋_GBK" w:hAnsi="方正仿宋_GBK" w:eastAsia="方正仿宋_GBK" w:cs="方正仿宋_GBK"/>
          <w:b w:val="0"/>
          <w:bCs/>
          <w:color w:val="auto"/>
          <w:spacing w:val="-1"/>
          <w:sz w:val="32"/>
          <w:szCs w:val="32"/>
          <w:shd w:val="clear" w:color="auto" w:fill="auto"/>
        </w:rPr>
        <w:t>关于全面实施预算绩效管理的意见》</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中发〔2018〕34号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、《项目支出绩效评价管理办法》</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财预〔2020〕10号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、《财政部关于印发〈第三方机构预算绩效评价业务监督管理暂行办法〉的通知》</w:t>
      </w:r>
      <w:r>
        <w:rPr>
          <w:rFonts w:hint="eastAsia" w:ascii="方正仿宋_GBK" w:hAnsi="方正仿宋_GBK" w:eastAsia="方正仿宋_GBK" w:cs="方正仿宋_GBK"/>
          <w:b w:val="0"/>
          <w:bCs/>
          <w:color w:val="auto"/>
          <w:spacing w:val="-1"/>
          <w:sz w:val="32"/>
          <w:szCs w:val="32"/>
          <w:shd w:val="clear" w:color="auto" w:fill="auto"/>
        </w:rPr>
        <w:tab/>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财监〔2021〕4号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、《关于委托第三方机构参与预算绩效管理的指导意见》</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财预〔2021〕6号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、《关于进一步加强和规范第三方机构参与预算绩效管理的通知》</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新财预〔2021〕49号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、《自治区党委自治区人民政府关于全面实施预算绩效管理的实施意见》</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新党发〔2018〕30号</w:t>
      </w:r>
      <w:r>
        <w:rPr>
          <w:rFonts w:hint="eastAsia" w:ascii="方正仿宋_GBK" w:hAnsi="方正仿宋_GBK" w:eastAsia="方正仿宋_GBK" w:cs="方正仿宋_GBK"/>
          <w:b w:val="0"/>
          <w:bCs/>
          <w:color w:val="auto"/>
          <w:spacing w:val="-1"/>
          <w:sz w:val="32"/>
          <w:szCs w:val="32"/>
          <w:shd w:val="clear" w:color="auto" w:fill="auto"/>
          <w:lang w:eastAsia="zh-CN"/>
        </w:rPr>
        <w:t>）</w:t>
      </w:r>
      <w:r>
        <w:rPr>
          <w:rFonts w:hint="eastAsia" w:ascii="方正仿宋_GBK" w:hAnsi="方正仿宋_GBK" w:eastAsia="方正仿宋_GBK" w:cs="方正仿宋_GBK"/>
          <w:b w:val="0"/>
          <w:bCs/>
          <w:color w:val="auto"/>
          <w:spacing w:val="-1"/>
          <w:sz w:val="32"/>
          <w:szCs w:val="32"/>
          <w:shd w:val="clear" w:color="auto" w:fill="auto"/>
        </w:rPr>
        <w:t>等系列文件的要求，受</w:t>
      </w:r>
      <w:r>
        <w:rPr>
          <w:rFonts w:hint="eastAsia" w:ascii="方正仿宋_GBK" w:hAnsi="方正仿宋_GBK" w:eastAsia="方正仿宋_GBK" w:cs="方正仿宋_GBK"/>
          <w:b w:val="0"/>
          <w:bCs/>
          <w:color w:val="auto"/>
          <w:spacing w:val="-1"/>
          <w:sz w:val="32"/>
          <w:szCs w:val="32"/>
          <w:shd w:val="clear" w:color="auto" w:fill="auto"/>
          <w:lang w:eastAsia="zh-CN"/>
        </w:rPr>
        <w:t>贵</w:t>
      </w:r>
      <w:r>
        <w:rPr>
          <w:rFonts w:hint="eastAsia" w:ascii="方正仿宋_GBK" w:hAnsi="方正仿宋_GBK" w:eastAsia="方正仿宋_GBK" w:cs="方正仿宋_GBK"/>
          <w:b w:val="0"/>
          <w:bCs/>
          <w:color w:val="auto"/>
          <w:spacing w:val="-1"/>
          <w:sz w:val="32"/>
          <w:szCs w:val="32"/>
          <w:shd w:val="clear" w:color="auto" w:fill="auto"/>
        </w:rPr>
        <w:t>局的委托，新疆鸿晟达信息咨询有限公司承担了</w:t>
      </w:r>
      <w:r>
        <w:rPr>
          <w:rFonts w:hint="eastAsia" w:ascii="方正仿宋_GBK" w:hAnsi="方正仿宋_GBK" w:eastAsia="方正仿宋_GBK" w:cs="方正仿宋_GBK"/>
          <w:b w:val="0"/>
          <w:bCs/>
          <w:color w:val="auto"/>
          <w:spacing w:val="-1"/>
          <w:sz w:val="32"/>
          <w:szCs w:val="32"/>
          <w:shd w:val="clear" w:color="auto" w:fill="auto"/>
          <w:lang w:val="en-US" w:eastAsia="zh-CN"/>
        </w:rPr>
        <w:t>莎车县基础教育设施设备提升（“优分优育”计划）项目</w:t>
      </w:r>
      <w:r>
        <w:rPr>
          <w:rFonts w:hint="eastAsia" w:ascii="方正仿宋_GBK" w:hAnsi="方正仿宋_GBK" w:eastAsia="方正仿宋_GBK" w:cs="方正仿宋_GBK"/>
          <w:b w:val="0"/>
          <w:bCs/>
          <w:color w:val="auto"/>
          <w:spacing w:val="-1"/>
          <w:sz w:val="32"/>
          <w:szCs w:val="32"/>
          <w:shd w:val="clear" w:color="auto" w:fill="auto"/>
        </w:rPr>
        <w:t>的绩效评价工作并形成绩效评价报告，</w:t>
      </w:r>
      <w:r>
        <w:rPr>
          <w:rFonts w:hint="eastAsia" w:ascii="方正仿宋_GBK" w:hAnsi="方正仿宋_GBK" w:eastAsia="方正仿宋_GBK" w:cs="方正仿宋_GBK"/>
          <w:b w:val="0"/>
          <w:bCs/>
          <w:color w:val="auto"/>
          <w:spacing w:val="-1"/>
          <w:sz w:val="32"/>
          <w:szCs w:val="32"/>
          <w:shd w:val="clear" w:color="auto" w:fill="auto"/>
          <w:lang w:val="en-US" w:eastAsia="zh-CN"/>
        </w:rPr>
        <w:t>莎车县教育局</w:t>
      </w:r>
      <w:r>
        <w:rPr>
          <w:rFonts w:hint="eastAsia" w:ascii="方正仿宋_GBK" w:hAnsi="方正仿宋_GBK" w:eastAsia="方正仿宋_GBK" w:cs="方正仿宋_GBK"/>
          <w:b w:val="0"/>
          <w:bCs/>
          <w:color w:val="auto"/>
          <w:spacing w:val="-1"/>
          <w:sz w:val="32"/>
          <w:szCs w:val="32"/>
          <w:shd w:val="clear" w:color="auto" w:fill="auto"/>
        </w:rPr>
        <w:t>负责提供与本次绩效评价相关的项目资料并保证项目资料的真实、合法、准确和完整，现将项目绩效评价情况报告如下：</w:t>
      </w:r>
      <w:bookmarkEnd w:id="85"/>
      <w:bookmarkEnd w:id="86"/>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黑体_GBK" w:hAnsi="方正黑体_GBK" w:eastAsia="方正黑体_GBK" w:cs="方正黑体_GBK"/>
          <w:color w:val="auto"/>
          <w:sz w:val="32"/>
          <w:szCs w:val="32"/>
          <w:shd w:val="clear" w:color="auto" w:fill="auto"/>
        </w:rPr>
      </w:pPr>
      <w:bookmarkStart w:id="87" w:name="_Toc6858"/>
      <w:r>
        <w:rPr>
          <w:rFonts w:hint="eastAsia" w:ascii="方正黑体_GBK" w:hAnsi="方正黑体_GBK" w:eastAsia="方正黑体_GBK" w:cs="方正黑体_GBK"/>
          <w:color w:val="auto"/>
          <w:sz w:val="32"/>
          <w:szCs w:val="32"/>
          <w:shd w:val="clear" w:color="auto" w:fill="auto"/>
          <w:lang w:val="en-US" w:eastAsia="zh-CN"/>
        </w:rPr>
        <w:t>一、基本情况</w:t>
      </w:r>
      <w:bookmarkEnd w:id="8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楷体_GBK" w:hAnsi="方正楷体_GBK" w:eastAsia="方正楷体_GBK" w:cs="方正楷体_GBK"/>
          <w:b/>
          <w:bCs w:val="0"/>
          <w:color w:val="auto"/>
          <w:sz w:val="32"/>
          <w:szCs w:val="32"/>
          <w:shd w:val="clear" w:color="auto" w:fill="auto"/>
          <w:lang w:val="en-US" w:eastAsia="zh-CN"/>
        </w:rPr>
      </w:pPr>
      <w:bookmarkStart w:id="88" w:name="_Toc2473"/>
      <w:bookmarkStart w:id="89" w:name="_Toc24443"/>
      <w:bookmarkStart w:id="90" w:name="_Toc26312"/>
      <w:bookmarkStart w:id="91" w:name="_Toc30475"/>
      <w:r>
        <w:rPr>
          <w:rFonts w:hint="eastAsia" w:ascii="方正楷体_GBK" w:hAnsi="方正楷体_GBK" w:eastAsia="方正楷体_GBK" w:cs="方正楷体_GBK"/>
          <w:b/>
          <w:bCs w:val="0"/>
          <w:color w:val="auto"/>
          <w:sz w:val="32"/>
          <w:szCs w:val="32"/>
          <w:shd w:val="clear" w:color="auto" w:fill="auto"/>
          <w:lang w:val="en-US" w:eastAsia="zh-CN"/>
        </w:rPr>
        <w:t>（一）项目概况</w:t>
      </w:r>
      <w:bookmarkEnd w:id="88"/>
      <w:bookmarkEnd w:id="89"/>
      <w:bookmarkEnd w:id="90"/>
      <w:bookmarkEnd w:id="9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92" w:name="_Toc25694"/>
      <w:bookmarkStart w:id="93" w:name="_Toc3852"/>
      <w:bookmarkStart w:id="94" w:name="_Toc1361"/>
      <w:bookmarkStart w:id="95" w:name="_Toc29206"/>
      <w:bookmarkStart w:id="96" w:name="_Toc10012"/>
      <w:bookmarkStart w:id="97" w:name="_Toc22727"/>
      <w:bookmarkStart w:id="98" w:name="_Toc13387"/>
      <w:r>
        <w:rPr>
          <w:rFonts w:hint="eastAsia" w:ascii="方正仿宋简体" w:hAnsi="方正仿宋简体" w:eastAsia="方正仿宋简体" w:cs="方正仿宋简体"/>
          <w:color w:val="auto"/>
          <w:sz w:val="32"/>
          <w:szCs w:val="32"/>
          <w:shd w:val="clear" w:color="auto" w:fill="auto"/>
          <w:lang w:val="en-US" w:eastAsia="zh-CN"/>
        </w:rPr>
        <w:t>1.项目背景</w:t>
      </w:r>
      <w:bookmarkEnd w:id="92"/>
      <w:bookmarkEnd w:id="93"/>
      <w:bookmarkEnd w:id="94"/>
      <w:bookmarkEnd w:id="95"/>
      <w:bookmarkEnd w:id="96"/>
      <w:bookmarkEnd w:id="97"/>
      <w:bookmarkEnd w:id="98"/>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99" w:name="_Toc22609"/>
      <w:bookmarkStart w:id="100" w:name="_Toc1782"/>
      <w:bookmarkStart w:id="101" w:name="_Toc4446"/>
      <w:bookmarkStart w:id="102" w:name="_Toc7734"/>
      <w:bookmarkStart w:id="103" w:name="_Toc344"/>
      <w:bookmarkStart w:id="104" w:name="_Toc24534"/>
      <w:bookmarkStart w:id="105" w:name="_Toc21879"/>
      <w:r>
        <w:rPr>
          <w:rFonts w:hint="eastAsia" w:ascii="方正仿宋_GBK" w:hAnsi="方正仿宋_GBK" w:eastAsia="方正仿宋_GBK" w:cs="方正仿宋_GBK"/>
          <w:b w:val="0"/>
          <w:bCs/>
          <w:color w:val="auto"/>
          <w:spacing w:val="-1"/>
          <w:sz w:val="32"/>
          <w:szCs w:val="32"/>
          <w:shd w:val="clear" w:color="auto" w:fill="auto"/>
          <w:lang w:val="en-US" w:eastAsia="zh-CN"/>
        </w:rPr>
        <w:t>该项目以习近平新时代中国特色社会主义思想为指导，以铸牢中华民族共同体意识为主线，坚持为党育人、为国育才，全面贯彻党的教育方针，落实立德树人根本任务，发展素质教育，促进教育均衡发展，严格遵循中共中央办公厅、国务院办公厅印发的《关于构建优质均衡的基本公共教育服务体系的意见》《关于实施新时代基础教育扩优提质行动计划的意见》（教基〔2023〕4号）等国家层面政策要求，以及新疆维吾尔自治区党委办公厅、新疆维吾尔自治区人民政府办公厅印发的《关于构建优质均衡的基本公共教育服务体系的实施方案》《新疆维吾尔自治区儿童发展规划（2021—2025年）》等自治区相关部署，立足莎车县教育发展实际推进实施。莎车县作为喀什地区教育大县，义务教育阶段学生规模大、教育资源分布不均衡，部分学校信息化教学设施滞后、优质教育资源供给不足，传统教学模式难以满足新时代学生个性化学习与教师精准化教学的需求，尤其在课后辅导、学业测评、教学教研等环节短板突出，与国家教育数字化战略行动、自治区义务教育优质均衡发展的要求存在差距，制约着区域教育质量的整体提升。</w:t>
      </w:r>
      <w:bookmarkEnd w:id="99"/>
      <w:bookmarkEnd w:id="100"/>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06" w:name="_Toc19699"/>
      <w:bookmarkStart w:id="107" w:name="_Toc11550"/>
      <w:r>
        <w:rPr>
          <w:rFonts w:hint="eastAsia" w:ascii="方正仿宋_GBK" w:hAnsi="方正仿宋_GBK" w:eastAsia="方正仿宋_GBK" w:cs="方正仿宋_GBK"/>
          <w:b w:val="0"/>
          <w:bCs/>
          <w:color w:val="auto"/>
          <w:spacing w:val="-1"/>
          <w:sz w:val="32"/>
          <w:szCs w:val="32"/>
          <w:shd w:val="clear" w:color="auto" w:fill="auto"/>
          <w:lang w:val="en-US" w:eastAsia="zh-CN"/>
        </w:rPr>
        <w:t>为深入贯彻国家、自治区关于推进教育数字化转型、促进义务教育优质均衡发展的决策部署，落实《“十四五”数字教育发展规划》《乡村振兴促进法》及自治区深化沪疆对口援疆协作有关要求，持续深化上海援疆“组团式”教育帮扶成效，切实提升莎车县义务教育教学质量与信息化办学水平，依据《关于2025年上海援建莎车县“优分优育”项目实施方案的批复》（莎发改〔2025〕320号），结合莎车县国民经济和社会发展、教育事业发展及上海对口援疆“十四五”规划，经充分调研与可行性论证，依托上海援疆资金，启动实施本项目。本项目总投入150万元，全部为援疆资金，聚焦莎车县全学段“优分优育”建设目标，通过引入智慧教育软件服务系统、打造县域智慧校园平台，全面赋能教育教学全流程，切实补齐县域教育短板。</w:t>
      </w:r>
      <w:bookmarkEnd w:id="106"/>
      <w:bookmarkEnd w:id="10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08" w:name="_Toc24539"/>
      <w:bookmarkStart w:id="109" w:name="_Toc31688"/>
      <w:r>
        <w:rPr>
          <w:rFonts w:hint="eastAsia" w:ascii="方正仿宋_GBK" w:hAnsi="方正仿宋_GBK" w:eastAsia="方正仿宋_GBK" w:cs="方正仿宋_GBK"/>
          <w:b w:val="0"/>
          <w:bCs/>
          <w:color w:val="auto"/>
          <w:spacing w:val="-1"/>
          <w:sz w:val="32"/>
          <w:szCs w:val="32"/>
          <w:shd w:val="clear" w:color="auto" w:fill="auto"/>
          <w:lang w:val="en-US" w:eastAsia="zh-CN"/>
        </w:rPr>
        <w:t>该项目的实施，既是落实国家教育数字化战略行动、推进义务教育优质均衡发展的重要举措，也是深化沪疆教育协作、助力莎车县教育提质增效的关键抓手，更是践行自治区教育发展部署、落实县级项目批复要求的具体行动。项目落地后，可有效补齐县域基础教育信息化短板，优化教学资源配置，创新教学模式，提升教师信息化教学能力，减轻学生学业负担，全面提升学校教学质量，满足受益师生对优质教育的需求，为莎车县教育事业高质量发展注入新动能，助力阻断贫困代际传递、服务乡村振兴战略，推动国家、自治区及县级相关教育政策在莎车县落地生根、见行见效。</w:t>
      </w:r>
      <w:bookmarkEnd w:id="108"/>
      <w:bookmarkEnd w:id="10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10" w:name="_Toc14732"/>
      <w:bookmarkStart w:id="111" w:name="_Toc28153"/>
      <w:r>
        <w:rPr>
          <w:rFonts w:hint="eastAsia" w:ascii="方正仿宋简体" w:hAnsi="方正仿宋简体" w:eastAsia="方正仿宋简体" w:cs="方正仿宋简体"/>
          <w:color w:val="auto"/>
          <w:sz w:val="32"/>
          <w:szCs w:val="32"/>
          <w:shd w:val="clear" w:color="auto" w:fill="auto"/>
          <w:lang w:val="en-US" w:eastAsia="zh-CN"/>
        </w:rPr>
        <w:t>2.项目实施主体</w:t>
      </w:r>
      <w:bookmarkEnd w:id="110"/>
      <w:bookmarkEnd w:id="11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12" w:name="_Toc4137"/>
      <w:bookmarkStart w:id="113" w:name="_Toc20179"/>
      <w:r>
        <w:rPr>
          <w:rFonts w:hint="eastAsia" w:ascii="方正仿宋_GBK" w:hAnsi="方正仿宋_GBK" w:eastAsia="方正仿宋_GBK" w:cs="方正仿宋_GBK"/>
          <w:b w:val="0"/>
          <w:bCs/>
          <w:color w:val="auto"/>
          <w:spacing w:val="-1"/>
          <w:sz w:val="32"/>
          <w:szCs w:val="32"/>
          <w:shd w:val="clear" w:color="auto" w:fill="auto"/>
          <w:lang w:val="en-US" w:eastAsia="zh-CN"/>
        </w:rPr>
        <w:t>项目实施主体为莎车县教育局，机构规格为正科级，属行政单位，其主要职责为：</w:t>
      </w:r>
      <w:bookmarkEnd w:id="112"/>
      <w:bookmarkEnd w:id="11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14" w:name="_Toc11162"/>
      <w:bookmarkStart w:id="115" w:name="_Toc29953"/>
      <w:r>
        <w:rPr>
          <w:rFonts w:hint="eastAsia" w:ascii="方正仿宋_GBK" w:hAnsi="方正仿宋_GBK" w:eastAsia="方正仿宋_GBK" w:cs="方正仿宋_GBK"/>
          <w:b w:val="0"/>
          <w:bCs/>
          <w:color w:val="auto"/>
          <w:spacing w:val="-1"/>
          <w:sz w:val="32"/>
          <w:szCs w:val="32"/>
          <w:shd w:val="clear" w:color="auto" w:fill="auto"/>
          <w:lang w:val="en-US" w:eastAsia="zh-CN"/>
        </w:rPr>
        <w:t>（1）贯彻执行党和国家的教育方针、政策及法律法规，以及自治区、地区、县人民政府和上级教育行政主管部门的有关方针、政策。研究制定本县教育事业的发展规划和计划，确定教育发展重点、规模和步骤，并监督实施；</w:t>
      </w:r>
      <w:bookmarkEnd w:id="114"/>
      <w:bookmarkEnd w:id="11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16" w:name="_Toc29810"/>
      <w:bookmarkStart w:id="117" w:name="_Toc799"/>
      <w:r>
        <w:rPr>
          <w:rFonts w:hint="eastAsia" w:ascii="方正仿宋_GBK" w:hAnsi="方正仿宋_GBK" w:eastAsia="方正仿宋_GBK" w:cs="方正仿宋_GBK"/>
          <w:b w:val="0"/>
          <w:bCs/>
          <w:color w:val="auto"/>
          <w:spacing w:val="-1"/>
          <w:sz w:val="32"/>
          <w:szCs w:val="32"/>
          <w:shd w:val="clear" w:color="auto" w:fill="auto"/>
          <w:lang w:val="en-US" w:eastAsia="zh-CN"/>
        </w:rPr>
        <w:t>（2）统筹管理本单位和学校的教育经费、教育拨款，拟订教育基建投资计划和方案，对全县中小学、幼儿园教育经费的使用进行监督和管理；</w:t>
      </w:r>
      <w:bookmarkEnd w:id="116"/>
      <w:bookmarkEnd w:id="11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18" w:name="_Toc32451"/>
      <w:bookmarkStart w:id="119" w:name="_Toc9421"/>
      <w:r>
        <w:rPr>
          <w:rFonts w:hint="eastAsia" w:ascii="方正仿宋_GBK" w:hAnsi="方正仿宋_GBK" w:eastAsia="方正仿宋_GBK" w:cs="方正仿宋_GBK"/>
          <w:b w:val="0"/>
          <w:bCs/>
          <w:color w:val="auto"/>
          <w:spacing w:val="-1"/>
          <w:sz w:val="32"/>
          <w:szCs w:val="32"/>
          <w:shd w:val="clear" w:color="auto" w:fill="auto"/>
          <w:lang w:val="en-US" w:eastAsia="zh-CN"/>
        </w:rPr>
        <w:t>（3）指导县内各级各类学校教育教学改革，促进各级各类教育协调发展。进一步巩固“两基”成果，提高义务教育水平；</w:t>
      </w:r>
      <w:bookmarkEnd w:id="118"/>
      <w:bookmarkEnd w:id="11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20" w:name="_Toc17936"/>
      <w:bookmarkStart w:id="121" w:name="_Toc14790"/>
      <w:r>
        <w:rPr>
          <w:rFonts w:hint="eastAsia" w:ascii="方正仿宋_GBK" w:hAnsi="方正仿宋_GBK" w:eastAsia="方正仿宋_GBK" w:cs="方正仿宋_GBK"/>
          <w:b w:val="0"/>
          <w:bCs/>
          <w:color w:val="auto"/>
          <w:spacing w:val="-1"/>
          <w:sz w:val="32"/>
          <w:szCs w:val="32"/>
          <w:shd w:val="clear" w:color="auto" w:fill="auto"/>
          <w:lang w:val="en-US" w:eastAsia="zh-CN"/>
        </w:rPr>
        <w:t>（4）综合管理全县幼儿教育、基础教育、职业技术教育、成人教育、社会力量办学工作；</w:t>
      </w:r>
      <w:bookmarkEnd w:id="120"/>
      <w:bookmarkEnd w:id="12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22" w:name="_Toc29869"/>
      <w:bookmarkStart w:id="123" w:name="_Toc31984"/>
      <w:r>
        <w:rPr>
          <w:rFonts w:hint="eastAsia" w:ascii="方正仿宋_GBK" w:hAnsi="方正仿宋_GBK" w:eastAsia="方正仿宋_GBK" w:cs="方正仿宋_GBK"/>
          <w:b w:val="0"/>
          <w:bCs/>
          <w:color w:val="auto"/>
          <w:spacing w:val="-1"/>
          <w:sz w:val="32"/>
          <w:szCs w:val="32"/>
          <w:shd w:val="clear" w:color="auto" w:fill="auto"/>
          <w:lang w:val="en-US" w:eastAsia="zh-CN"/>
        </w:rPr>
        <w:t>（5）负责全县中小学学生学籍管理和有关政策制定工作；</w:t>
      </w:r>
      <w:bookmarkEnd w:id="122"/>
      <w:bookmarkEnd w:id="12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24" w:name="_Toc16298"/>
      <w:bookmarkStart w:id="125" w:name="_Toc21172"/>
      <w:r>
        <w:rPr>
          <w:rFonts w:hint="eastAsia" w:ascii="方正仿宋_GBK" w:hAnsi="方正仿宋_GBK" w:eastAsia="方正仿宋_GBK" w:cs="方正仿宋_GBK"/>
          <w:b w:val="0"/>
          <w:bCs/>
          <w:color w:val="auto"/>
          <w:spacing w:val="-1"/>
          <w:sz w:val="32"/>
          <w:szCs w:val="32"/>
          <w:shd w:val="clear" w:color="auto" w:fill="auto"/>
          <w:lang w:val="en-US" w:eastAsia="zh-CN"/>
        </w:rPr>
        <w:t>（6）组织、指导、协调各类学校（幼儿园）教学工作；</w:t>
      </w:r>
      <w:bookmarkEnd w:id="124"/>
      <w:bookmarkEnd w:id="12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26" w:name="_Toc22625"/>
      <w:bookmarkStart w:id="127" w:name="_Toc22490"/>
      <w:r>
        <w:rPr>
          <w:rFonts w:hint="eastAsia" w:ascii="方正仿宋_GBK" w:hAnsi="方正仿宋_GBK" w:eastAsia="方正仿宋_GBK" w:cs="方正仿宋_GBK"/>
          <w:b w:val="0"/>
          <w:bCs/>
          <w:color w:val="auto"/>
          <w:spacing w:val="-1"/>
          <w:sz w:val="32"/>
          <w:szCs w:val="32"/>
          <w:shd w:val="clear" w:color="auto" w:fill="auto"/>
          <w:lang w:val="en-US" w:eastAsia="zh-CN"/>
        </w:rPr>
        <w:t>（7）普及义务教育，均衡教育资源，促进教育公平，指导普通高中教育、幼儿教育和特殊教育工作；</w:t>
      </w:r>
      <w:bookmarkEnd w:id="126"/>
      <w:bookmarkEnd w:id="12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28" w:name="_Toc26300"/>
      <w:bookmarkStart w:id="129" w:name="_Toc18534"/>
      <w:r>
        <w:rPr>
          <w:rFonts w:hint="eastAsia" w:ascii="方正仿宋_GBK" w:hAnsi="方正仿宋_GBK" w:eastAsia="方正仿宋_GBK" w:cs="方正仿宋_GBK"/>
          <w:b w:val="0"/>
          <w:bCs/>
          <w:color w:val="auto"/>
          <w:spacing w:val="-1"/>
          <w:sz w:val="32"/>
          <w:szCs w:val="32"/>
          <w:shd w:val="clear" w:color="auto" w:fill="auto"/>
          <w:lang w:val="en-US" w:eastAsia="zh-CN"/>
        </w:rPr>
        <w:t>（8）贯彻执行学生资助的方针、政策，协调全县各类学校家庭困难学生的资助管理工作；</w:t>
      </w:r>
      <w:bookmarkEnd w:id="128"/>
      <w:bookmarkEnd w:id="12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30" w:name="_Toc7610"/>
      <w:bookmarkStart w:id="131" w:name="_Toc151"/>
      <w:r>
        <w:rPr>
          <w:rFonts w:hint="eastAsia" w:ascii="方正仿宋_GBK" w:hAnsi="方正仿宋_GBK" w:eastAsia="方正仿宋_GBK" w:cs="方正仿宋_GBK"/>
          <w:b w:val="0"/>
          <w:bCs/>
          <w:color w:val="auto"/>
          <w:spacing w:val="-1"/>
          <w:sz w:val="32"/>
          <w:szCs w:val="32"/>
          <w:shd w:val="clear" w:color="auto" w:fill="auto"/>
          <w:lang w:val="en-US" w:eastAsia="zh-CN"/>
        </w:rPr>
        <w:t>（9）指导全县教师队伍的师德师风建设和各级各类学校思想政治工作、德育工作，做好学校国防教育工作；</w:t>
      </w:r>
      <w:bookmarkEnd w:id="130"/>
      <w:bookmarkEnd w:id="13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32" w:name="_Toc14575"/>
      <w:bookmarkStart w:id="133" w:name="_Toc29700"/>
      <w:r>
        <w:rPr>
          <w:rFonts w:hint="eastAsia" w:ascii="方正仿宋_GBK" w:hAnsi="方正仿宋_GBK" w:eastAsia="方正仿宋_GBK" w:cs="方正仿宋_GBK"/>
          <w:b w:val="0"/>
          <w:bCs/>
          <w:color w:val="auto"/>
          <w:spacing w:val="-1"/>
          <w:sz w:val="32"/>
          <w:szCs w:val="32"/>
          <w:shd w:val="clear" w:color="auto" w:fill="auto"/>
          <w:lang w:val="en-US" w:eastAsia="zh-CN"/>
        </w:rPr>
        <w:t>（10）统筹管理全县教职工工作，组织实施教师资格认定和教师教育工作，按各级各类学校的编制标准做好教师岗位竞争工作，统筹规划教师和管理人员队伍建设和专业技术职称评聘工作；</w:t>
      </w:r>
      <w:bookmarkEnd w:id="132"/>
      <w:bookmarkEnd w:id="13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34" w:name="_Toc16415"/>
      <w:bookmarkStart w:id="135" w:name="_Toc19656"/>
      <w:r>
        <w:rPr>
          <w:rFonts w:hint="eastAsia" w:ascii="方正仿宋_GBK" w:hAnsi="方正仿宋_GBK" w:eastAsia="方正仿宋_GBK" w:cs="方正仿宋_GBK"/>
          <w:b w:val="0"/>
          <w:bCs/>
          <w:color w:val="auto"/>
          <w:spacing w:val="-1"/>
          <w:sz w:val="32"/>
          <w:szCs w:val="32"/>
          <w:shd w:val="clear" w:color="auto" w:fill="auto"/>
          <w:lang w:val="en-US" w:eastAsia="zh-CN"/>
        </w:rPr>
        <w:t>（11）指导监督教育系统纪检监察、精神文明、双拥、民族团结、工会、妇女、共青团等工作；</w:t>
      </w:r>
      <w:bookmarkEnd w:id="134"/>
      <w:bookmarkEnd w:id="13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36" w:name="_Toc5141"/>
      <w:bookmarkStart w:id="137" w:name="_Toc21575"/>
      <w:r>
        <w:rPr>
          <w:rFonts w:hint="eastAsia" w:ascii="方正仿宋_GBK" w:hAnsi="方正仿宋_GBK" w:eastAsia="方正仿宋_GBK" w:cs="方正仿宋_GBK"/>
          <w:b w:val="0"/>
          <w:bCs/>
          <w:color w:val="auto"/>
          <w:spacing w:val="-1"/>
          <w:sz w:val="32"/>
          <w:szCs w:val="32"/>
          <w:shd w:val="clear" w:color="auto" w:fill="auto"/>
          <w:lang w:val="en-US" w:eastAsia="zh-CN"/>
        </w:rPr>
        <w:t>（12）指导全县学校安全教育工作和学校社会治安综合管理工作，配合有关部门做好校园及周边治安综合治理工作；</w:t>
      </w:r>
      <w:bookmarkEnd w:id="136"/>
      <w:bookmarkEnd w:id="13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38" w:name="_Toc11539"/>
      <w:bookmarkStart w:id="139" w:name="_Toc23126"/>
      <w:r>
        <w:rPr>
          <w:rFonts w:hint="eastAsia" w:ascii="方正仿宋_GBK" w:hAnsi="方正仿宋_GBK" w:eastAsia="方正仿宋_GBK" w:cs="方正仿宋_GBK"/>
          <w:b w:val="0"/>
          <w:bCs/>
          <w:color w:val="auto"/>
          <w:spacing w:val="-1"/>
          <w:sz w:val="32"/>
          <w:szCs w:val="32"/>
          <w:shd w:val="clear" w:color="auto" w:fill="auto"/>
          <w:lang w:val="en-US" w:eastAsia="zh-CN"/>
        </w:rPr>
        <w:t>（13）协助地区组织内地新疆高中班和区内初中班招考管理工作；</w:t>
      </w:r>
      <w:bookmarkEnd w:id="138"/>
      <w:bookmarkEnd w:id="13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36" w:firstLineChars="200"/>
        <w:textAlignment w:val="auto"/>
        <w:rPr>
          <w:rFonts w:hint="eastAsia" w:ascii="方正仿宋_GBK" w:hAnsi="方正仿宋_GBK" w:eastAsia="方正仿宋_GBK" w:cs="方正仿宋_GBK"/>
          <w:b w:val="0"/>
          <w:bCs/>
          <w:color w:val="auto"/>
          <w:spacing w:val="-1"/>
          <w:sz w:val="32"/>
          <w:szCs w:val="32"/>
          <w:shd w:val="clear" w:color="auto" w:fill="auto"/>
          <w:lang w:val="en-US" w:eastAsia="zh-CN"/>
        </w:rPr>
      </w:pPr>
      <w:bookmarkStart w:id="140" w:name="_Toc15539"/>
      <w:bookmarkStart w:id="141" w:name="_Toc28458"/>
      <w:r>
        <w:rPr>
          <w:rFonts w:hint="eastAsia" w:ascii="方正仿宋_GBK" w:hAnsi="方正仿宋_GBK" w:eastAsia="方正仿宋_GBK" w:cs="方正仿宋_GBK"/>
          <w:b w:val="0"/>
          <w:bCs/>
          <w:color w:val="auto"/>
          <w:spacing w:val="-1"/>
          <w:sz w:val="32"/>
          <w:szCs w:val="32"/>
          <w:shd w:val="clear" w:color="auto" w:fill="auto"/>
          <w:lang w:val="en-US" w:eastAsia="zh-CN"/>
        </w:rPr>
        <w:t>（14）承办县委、县人民政府交办的其他事项。</w:t>
      </w:r>
      <w:bookmarkEnd w:id="140"/>
      <w:bookmarkEnd w:id="14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42" w:name="_Toc24224"/>
      <w:bookmarkStart w:id="143" w:name="_Toc6512"/>
      <w:r>
        <w:rPr>
          <w:rFonts w:hint="eastAsia" w:ascii="方正仿宋简体" w:hAnsi="方正仿宋简体" w:eastAsia="方正仿宋简体" w:cs="方正仿宋简体"/>
          <w:color w:val="auto"/>
          <w:sz w:val="32"/>
          <w:szCs w:val="32"/>
          <w:shd w:val="clear" w:color="auto" w:fill="auto"/>
          <w:lang w:val="en-US" w:eastAsia="zh-CN"/>
        </w:rPr>
        <w:t>3.主要内容及实施情况</w:t>
      </w:r>
      <w:bookmarkEnd w:id="101"/>
      <w:bookmarkEnd w:id="102"/>
      <w:bookmarkEnd w:id="103"/>
      <w:bookmarkEnd w:id="104"/>
      <w:bookmarkEnd w:id="105"/>
      <w:bookmarkEnd w:id="142"/>
      <w:bookmarkEnd w:id="14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144" w:name="_Toc6211"/>
      <w:bookmarkStart w:id="145" w:name="_Toc4975"/>
      <w:bookmarkStart w:id="146" w:name="_Toc13915"/>
      <w:bookmarkStart w:id="147" w:name="_Toc23034"/>
      <w:bookmarkStart w:id="148" w:name="_Toc15437"/>
      <w:bookmarkStart w:id="149" w:name="_Toc1060"/>
      <w:bookmarkStart w:id="150" w:name="_Toc27324"/>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项目计划于2025年度覆盖全县8所学校，部署数字智能考阅系统、备课授课一体化平台、 数字智能考阅支持、高质量作业支持、数据分析支持等多类智慧教育服务，同步配套教师线上教学方法培训与研讨，推动数字化技术全面赋能教学场景，实现“以数助教、以数促学”。截至2025年12月31日，项目支出为149.59万元，已完成对8所学校引入智慧教育软件服务系统，智慧教育软件应用率达到100%，通过项目实施，有效提升学校教学质量，受益师生满意度达到95%。</w:t>
      </w:r>
      <w:bookmarkEnd w:id="144"/>
      <w:bookmarkEnd w:id="14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51" w:name="_Toc6069"/>
      <w:bookmarkStart w:id="152" w:name="_Toc25023"/>
      <w:r>
        <w:rPr>
          <w:rFonts w:hint="eastAsia" w:ascii="方正仿宋简体" w:hAnsi="方正仿宋简体" w:eastAsia="方正仿宋简体" w:cs="方正仿宋简体"/>
          <w:color w:val="auto"/>
          <w:sz w:val="32"/>
          <w:szCs w:val="32"/>
          <w:shd w:val="clear" w:color="auto" w:fill="auto"/>
          <w:lang w:val="en-US" w:eastAsia="zh-CN"/>
        </w:rPr>
        <w:t>4.</w:t>
      </w:r>
      <w:bookmarkEnd w:id="146"/>
      <w:r>
        <w:rPr>
          <w:rFonts w:hint="eastAsia" w:ascii="方正仿宋简体" w:hAnsi="方正仿宋简体" w:eastAsia="方正仿宋简体" w:cs="方正仿宋简体"/>
          <w:color w:val="auto"/>
          <w:sz w:val="32"/>
          <w:szCs w:val="32"/>
          <w:shd w:val="clear" w:color="auto" w:fill="auto"/>
          <w:lang w:val="en-US" w:eastAsia="zh-CN"/>
        </w:rPr>
        <w:t>资金投入和使用情况</w:t>
      </w:r>
      <w:bookmarkEnd w:id="151"/>
      <w:bookmarkEnd w:id="152"/>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该项目预算资金总额为150万元，其中：财政资金0万元，其他资金150万元。实际到位资金150万元，其中：财政资金0万元，其他资金150万元，资金到位率为100%。</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截至2025年12月31日，项目实际支出149.59万元，资金预算执行率99.73%。资金主要用于对8所学校引入智慧教育软件服务系统。</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rPr>
          <w:rFonts w:hint="eastAsia" w:ascii="方正仿宋简体" w:hAnsi="方正仿宋简体" w:eastAsia="方正仿宋简体" w:cs="方正仿宋简体"/>
          <w:b/>
          <w:bCs w:val="0"/>
          <w:color w:val="auto"/>
          <w:sz w:val="32"/>
          <w:szCs w:val="32"/>
          <w:highlight w:val="none"/>
          <w:shd w:val="clear" w:color="auto" w:fill="auto"/>
          <w:lang w:val="en-US" w:eastAsia="zh-CN"/>
        </w:rPr>
      </w:pPr>
      <w:r>
        <w:rPr>
          <w:rFonts w:hint="eastAsia" w:ascii="方正仿宋简体" w:hAnsi="方正仿宋简体" w:eastAsia="方正仿宋简体" w:cs="方正仿宋简体"/>
          <w:b/>
          <w:bCs w:val="0"/>
          <w:color w:val="auto"/>
          <w:sz w:val="32"/>
          <w:szCs w:val="32"/>
          <w:highlight w:val="none"/>
          <w:shd w:val="clear" w:color="auto" w:fill="auto"/>
          <w:lang w:val="en-US" w:eastAsia="zh-CN"/>
        </w:rPr>
        <w:t>5.项目组织及管理情况</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color w:val="auto"/>
          <w:sz w:val="32"/>
          <w:szCs w:val="32"/>
          <w:highlight w:val="none"/>
          <w:shd w:val="clear" w:color="auto" w:fill="auto"/>
          <w:lang w:val="en-US" w:eastAsia="zh-CN"/>
        </w:rPr>
      </w:pPr>
      <w:r>
        <w:rPr>
          <w:rFonts w:hint="eastAsia" w:ascii="方正仿宋_GBK" w:hAnsi="方正仿宋_GBK" w:eastAsia="方正仿宋_GBK" w:cs="方正仿宋_GBK"/>
          <w:b w:val="0"/>
          <w:bCs/>
          <w:color w:val="auto"/>
          <w:sz w:val="32"/>
          <w:szCs w:val="32"/>
          <w:highlight w:val="none"/>
          <w:shd w:val="clear" w:color="auto" w:fill="auto"/>
          <w:lang w:val="en-US" w:eastAsia="zh-CN"/>
        </w:rPr>
        <w:t>（1）项目组织情况</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color w:val="auto"/>
          <w:sz w:val="32"/>
          <w:szCs w:val="32"/>
          <w:highlight w:val="none"/>
          <w:shd w:val="clear" w:color="auto" w:fill="auto"/>
          <w:lang w:val="en-US" w:eastAsia="zh-CN"/>
        </w:rPr>
      </w:pPr>
      <w:r>
        <w:rPr>
          <w:rFonts w:hint="eastAsia" w:ascii="方正仿宋_GBK" w:hAnsi="方正仿宋_GBK" w:eastAsia="方正仿宋_GBK" w:cs="方正仿宋_GBK"/>
          <w:b w:val="0"/>
          <w:bCs/>
          <w:color w:val="auto"/>
          <w:sz w:val="32"/>
          <w:szCs w:val="32"/>
          <w:highlight w:val="none"/>
          <w:shd w:val="clear" w:color="auto" w:fill="auto"/>
          <w:lang w:val="en-US" w:eastAsia="zh-CN"/>
        </w:rPr>
        <w:t>本项目建立了权责清晰、分工明确的组织架构；项目主管部门为莎车县教育局，由艾尼瓦尔·喀迪尔同志负责项目总体决策与统筹协调；实施部门为莎车县教育局教研室，由王伟康同志牵头，具体承担项目落地执行、教学培训及数字化教学服务对接等工作；财务部门为莎车县教育局核算中心，由唐相龙同志负责，依规审核项目结算资料并按程序办理资金支付。</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color w:val="auto"/>
          <w:sz w:val="32"/>
          <w:szCs w:val="32"/>
          <w:highlight w:val="none"/>
          <w:shd w:val="clear" w:color="auto" w:fill="auto"/>
          <w:lang w:val="en-US" w:eastAsia="zh-CN"/>
        </w:rPr>
      </w:pPr>
      <w:r>
        <w:rPr>
          <w:rFonts w:hint="eastAsia" w:ascii="方正仿宋_GBK" w:hAnsi="方正仿宋_GBK" w:eastAsia="方正仿宋_GBK" w:cs="方正仿宋_GBK"/>
          <w:b w:val="0"/>
          <w:bCs/>
          <w:color w:val="auto"/>
          <w:sz w:val="32"/>
          <w:szCs w:val="32"/>
          <w:highlight w:val="none"/>
          <w:shd w:val="clear" w:color="auto" w:fill="auto"/>
          <w:lang w:val="en-US" w:eastAsia="zh-CN"/>
        </w:rPr>
        <w:t>（2）项目管理情况</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color w:val="auto"/>
          <w:kern w:val="2"/>
          <w:sz w:val="32"/>
          <w:szCs w:val="32"/>
          <w:highlight w:val="none"/>
          <w:shd w:val="clear" w:color="auto" w:fill="auto"/>
          <w:lang w:val="en-US" w:eastAsia="zh-CN" w:bidi="zh-CN"/>
        </w:rPr>
      </w:pPr>
      <w:bookmarkStart w:id="153" w:name="_Toc1785"/>
      <w:bookmarkStart w:id="154" w:name="_Toc15128"/>
      <w:bookmarkStart w:id="155" w:name="_Toc14091"/>
      <w:r>
        <w:rPr>
          <w:rFonts w:hint="eastAsia" w:ascii="方正仿宋_GBK" w:hAnsi="方正仿宋_GBK" w:eastAsia="方正仿宋_GBK" w:cs="方正仿宋_GBK"/>
          <w:b w:val="0"/>
          <w:bCs/>
          <w:color w:val="auto"/>
          <w:kern w:val="2"/>
          <w:sz w:val="32"/>
          <w:szCs w:val="32"/>
          <w:highlight w:val="none"/>
          <w:shd w:val="clear" w:color="auto" w:fill="auto"/>
          <w:lang w:val="en-US" w:eastAsia="zh-CN" w:bidi="zh-CN"/>
        </w:rPr>
        <w:t>项目实行全流程规范化管理，资金方面，总投入150万元严格依据批复方案。执行方面，各部门分工协作、闭环推进，统一协调解决实施问题，保障项目各项任务有序落地。</w:t>
      </w:r>
      <w:bookmarkEnd w:id="153"/>
      <w:bookmarkEnd w:id="154"/>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楷体_GBK" w:hAnsi="方正楷体_GBK" w:eastAsia="方正楷体_GBK" w:cs="方正楷体_GBK"/>
          <w:color w:val="auto"/>
          <w:sz w:val="32"/>
          <w:szCs w:val="32"/>
          <w:shd w:val="clear" w:color="auto" w:fill="auto"/>
          <w:lang w:val="en-US" w:eastAsia="zh-CN"/>
        </w:rPr>
      </w:pPr>
      <w:bookmarkStart w:id="156" w:name="_Toc13982"/>
      <w:r>
        <w:rPr>
          <w:rFonts w:hint="eastAsia" w:ascii="方正楷体_GBK" w:hAnsi="方正楷体_GBK" w:eastAsia="方正楷体_GBK" w:cs="方正楷体_GBK"/>
          <w:color w:val="auto"/>
          <w:sz w:val="32"/>
          <w:szCs w:val="32"/>
          <w:shd w:val="clear" w:color="auto" w:fill="auto"/>
          <w:lang w:val="en-US" w:eastAsia="zh-CN"/>
        </w:rPr>
        <w:t>（二）</w:t>
      </w:r>
      <w:bookmarkStart w:id="157" w:name="（二）绩效目标"/>
      <w:bookmarkEnd w:id="157"/>
      <w:r>
        <w:rPr>
          <w:rFonts w:hint="eastAsia" w:ascii="方正楷体_GBK" w:hAnsi="方正楷体_GBK" w:eastAsia="方正楷体_GBK" w:cs="方正楷体_GBK"/>
          <w:color w:val="auto"/>
          <w:sz w:val="32"/>
          <w:szCs w:val="32"/>
          <w:shd w:val="clear" w:color="auto" w:fill="auto"/>
          <w:lang w:val="en-US" w:eastAsia="zh-CN"/>
        </w:rPr>
        <w:t>项目绩效目标</w:t>
      </w:r>
      <w:bookmarkEnd w:id="147"/>
      <w:bookmarkEnd w:id="148"/>
      <w:bookmarkEnd w:id="149"/>
      <w:bookmarkEnd w:id="150"/>
      <w:bookmarkEnd w:id="155"/>
      <w:bookmarkEnd w:id="156"/>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158" w:name="_Toc26040"/>
      <w:bookmarkStart w:id="159" w:name="_Toc22409"/>
      <w:bookmarkStart w:id="160" w:name="_Toc12994"/>
      <w:bookmarkStart w:id="161" w:name="_Toc9707"/>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项目绩效目标包括项目绩效总目标和阶段性目标。</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62" w:name="_Toc28681"/>
      <w:bookmarkStart w:id="163" w:name="_Toc23897"/>
      <w:r>
        <w:rPr>
          <w:rFonts w:hint="eastAsia" w:ascii="方正仿宋简体" w:hAnsi="方正仿宋简体" w:eastAsia="方正仿宋简体" w:cs="方正仿宋简体"/>
          <w:color w:val="auto"/>
          <w:sz w:val="32"/>
          <w:szCs w:val="32"/>
          <w:shd w:val="clear" w:color="auto" w:fill="auto"/>
          <w:lang w:val="en-US" w:eastAsia="zh-CN"/>
        </w:rPr>
        <w:t>1.项目绩效总目标</w:t>
      </w:r>
      <w:bookmarkEnd w:id="162"/>
      <w:bookmarkEnd w:id="163"/>
    </w:p>
    <w:bookmarkEnd w:id="158"/>
    <w:bookmarkEnd w:id="159"/>
    <w:bookmarkEnd w:id="160"/>
    <w:bookmarkEnd w:id="161"/>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ar-SA"/>
        </w:rPr>
      </w:pPr>
      <w:bookmarkStart w:id="164" w:name="_Toc24981"/>
      <w:bookmarkStart w:id="165" w:name="_Toc14272"/>
      <w:r>
        <w:rPr>
          <w:rFonts w:hint="eastAsia" w:ascii="方正仿宋_GBK" w:hAnsi="方正仿宋_GBK" w:eastAsia="方正仿宋_GBK" w:cs="方正仿宋_GBK"/>
          <w:b w:val="0"/>
          <w:bCs w:val="0"/>
          <w:color w:val="auto"/>
          <w:kern w:val="0"/>
          <w:sz w:val="32"/>
          <w:szCs w:val="32"/>
          <w:shd w:val="clear" w:color="auto" w:fill="auto"/>
          <w:lang w:val="en-US" w:eastAsia="zh-CN" w:bidi="ar-SA"/>
        </w:rPr>
        <w:t>项目绩效总目标为：依托上海援建资金，搭建莎车县智慧校园数字化教学平台，引入优质教学服务并开展教师能力培训，赋能教育教学提质增效，规范资金与项目管理，提升莎车县基础教育教学质量，促进教育公平，落实立德树人根本任务。</w:t>
      </w:r>
      <w:bookmarkEnd w:id="164"/>
      <w:bookmarkEnd w:id="16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66" w:name="_Toc14685"/>
      <w:bookmarkStart w:id="167" w:name="_Toc23779"/>
      <w:r>
        <w:rPr>
          <w:rFonts w:hint="eastAsia" w:ascii="方正仿宋简体" w:hAnsi="方正仿宋简体" w:eastAsia="方正仿宋简体" w:cs="方正仿宋简体"/>
          <w:color w:val="auto"/>
          <w:sz w:val="32"/>
          <w:szCs w:val="32"/>
          <w:shd w:val="clear" w:color="auto" w:fill="auto"/>
          <w:lang w:val="en-US" w:eastAsia="zh-CN"/>
        </w:rPr>
        <w:t>2.阶段性目标</w:t>
      </w:r>
      <w:bookmarkEnd w:id="166"/>
      <w:bookmarkEnd w:id="16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ar-SA"/>
        </w:rPr>
      </w:pPr>
      <w:bookmarkStart w:id="168" w:name="_Toc32512"/>
      <w:bookmarkStart w:id="169" w:name="_Toc12309"/>
      <w:r>
        <w:rPr>
          <w:rFonts w:hint="eastAsia" w:ascii="方正仿宋_GBK" w:hAnsi="方正仿宋_GBK" w:eastAsia="方正仿宋_GBK" w:cs="方正仿宋_GBK"/>
          <w:b w:val="0"/>
          <w:bCs w:val="0"/>
          <w:color w:val="auto"/>
          <w:kern w:val="0"/>
          <w:sz w:val="32"/>
          <w:szCs w:val="32"/>
          <w:shd w:val="clear" w:color="auto" w:fill="auto"/>
          <w:lang w:val="en-US" w:eastAsia="zh-CN" w:bidi="ar-SA"/>
        </w:rPr>
        <w:t>项目阶段性目标为：本阶段依托上海援疆资金完成县域智慧教学服务部署，覆盖8所学校，配套备授课、智能考阅、作业管理、数据分析全套数字化教学工具，同步开展线上教师提升培训。项目各项服务费用控制在预算限额内：备授课数字一体化平台服务费80万元，数字智能考阅支持服务费35万元，高质量作业支持服务费20万元，数据分析支持服务费15万元。2025年底前完成平台搭建并常态化投入教学使用，持续发挥数字化教学提质作用。</w:t>
      </w:r>
      <w:bookmarkEnd w:id="168"/>
      <w:bookmarkEnd w:id="16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170" w:name="_Toc2142"/>
      <w:bookmarkStart w:id="171" w:name="_Toc6097"/>
      <w:r>
        <w:rPr>
          <w:rFonts w:hint="eastAsia" w:ascii="方正仿宋简体" w:hAnsi="方正仿宋简体" w:eastAsia="方正仿宋简体" w:cs="方正仿宋简体"/>
          <w:color w:val="auto"/>
          <w:sz w:val="32"/>
          <w:szCs w:val="32"/>
          <w:shd w:val="clear" w:color="auto" w:fill="auto"/>
          <w:lang w:val="en-US" w:eastAsia="zh-CN"/>
        </w:rPr>
        <w:t>（1）</w:t>
      </w:r>
      <w:r>
        <w:rPr>
          <w:rFonts w:hint="default" w:ascii="方正仿宋简体" w:hAnsi="方正仿宋简体" w:eastAsia="方正仿宋简体" w:cs="方正仿宋简体"/>
          <w:color w:val="auto"/>
          <w:sz w:val="32"/>
          <w:szCs w:val="32"/>
          <w:shd w:val="clear" w:color="auto" w:fill="auto"/>
          <w:lang w:val="en-US" w:eastAsia="zh-CN"/>
        </w:rPr>
        <w:t>项目产出目标</w:t>
      </w:r>
      <w:bookmarkEnd w:id="170"/>
      <w:bookmarkEnd w:id="171"/>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产出数量</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引入智慧教育软件服务</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等于1批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涵盖学校数量</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大于等于8所</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产出质量</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智慧教育软件应用率</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等于100%</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产出时效</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各类平台搭建完成时间</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2025年12月</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产出成本</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备授课数字一体化平台服务费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小于等于80万元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数字智能考阅支持服务费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小于等于35万元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高质量作业支持服务费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小于等于20万元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数据分析支持服务费</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小于等于15万元</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172" w:name="_Toc24095"/>
      <w:bookmarkStart w:id="173" w:name="_Toc31957"/>
      <w:r>
        <w:rPr>
          <w:rFonts w:hint="eastAsia" w:ascii="方正仿宋简体" w:hAnsi="方正仿宋简体" w:eastAsia="方正仿宋简体" w:cs="方正仿宋简体"/>
          <w:color w:val="auto"/>
          <w:sz w:val="32"/>
          <w:szCs w:val="32"/>
          <w:shd w:val="clear" w:color="auto" w:fill="auto"/>
          <w:lang w:val="en-US" w:eastAsia="zh-CN"/>
        </w:rPr>
        <w:t>（2）</w:t>
      </w:r>
      <w:r>
        <w:rPr>
          <w:rFonts w:hint="default" w:ascii="方正仿宋简体" w:hAnsi="方正仿宋简体" w:eastAsia="方正仿宋简体" w:cs="方正仿宋简体"/>
          <w:color w:val="auto"/>
          <w:sz w:val="32"/>
          <w:szCs w:val="32"/>
          <w:shd w:val="clear" w:color="auto" w:fill="auto"/>
          <w:lang w:val="en-US" w:eastAsia="zh-CN"/>
        </w:rPr>
        <w:t>项目效益目标</w:t>
      </w:r>
      <w:bookmarkEnd w:id="172"/>
      <w:bookmarkEnd w:id="173"/>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社会效益指标</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default" w:ascii="方正仿宋_GBK" w:hAnsi="方正仿宋_GBK" w:eastAsia="方正仿宋_GBK" w:cs="方正仿宋_GBK"/>
          <w:b w:val="0"/>
          <w:bCs w:val="0"/>
          <w:color w:val="auto"/>
          <w:kern w:val="0"/>
          <w:sz w:val="32"/>
          <w:szCs w:val="32"/>
          <w:shd w:val="clear" w:color="auto" w:fill="auto"/>
          <w:lang w:val="en-US" w:eastAsia="zh-CN" w:bidi="ar-SA"/>
        </w:rPr>
      </w:pP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提升学校教学质量</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”指标，预期指标值为</w:t>
      </w:r>
      <w:r>
        <w:rPr>
          <w:rFonts w:hint="eastAsia" w:ascii="方正仿宋_GBK" w:hAnsi="方正仿宋_GBK" w:eastAsia="方正仿宋_GBK" w:cs="方正仿宋_GBK"/>
          <w:b w:val="0"/>
          <w:bCs w:val="0"/>
          <w:color w:val="auto"/>
          <w:kern w:val="0"/>
          <w:sz w:val="32"/>
          <w:szCs w:val="32"/>
          <w:shd w:val="clear" w:color="auto" w:fill="auto"/>
          <w:lang w:val="en-US" w:eastAsia="zh-CN" w:bidi="ar-SA"/>
        </w:rPr>
        <w:t>有效提升</w:t>
      </w:r>
      <w:r>
        <w:rPr>
          <w:rFonts w:hint="default" w:ascii="方正仿宋_GBK" w:hAnsi="方正仿宋_GBK" w:eastAsia="方正仿宋_GBK" w:cs="方正仿宋_GBK"/>
          <w:b w:val="0"/>
          <w:bCs w:val="0"/>
          <w:color w:val="auto"/>
          <w:kern w:val="0"/>
          <w:sz w:val="32"/>
          <w:szCs w:val="32"/>
          <w:shd w:val="clear" w:color="auto" w:fill="auto"/>
          <w:lang w:val="en-US" w:eastAsia="zh-CN" w:bidi="ar-SA"/>
        </w:rPr>
        <w:t>。</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2"/>
        <w:rPr>
          <w:rFonts w:hint="eastAsia" w:ascii="方正仿宋简体" w:hAnsi="方正仿宋简体" w:eastAsia="方正仿宋简体" w:cs="方正仿宋简体"/>
          <w:b/>
          <w:bCs/>
          <w:color w:val="auto"/>
          <w:kern w:val="2"/>
          <w:sz w:val="32"/>
          <w:szCs w:val="32"/>
          <w:highlight w:val="none"/>
          <w:shd w:val="clear" w:color="auto" w:fill="auto"/>
          <w:lang w:val="en-US" w:eastAsia="zh-CN" w:bidi="zh-CN"/>
        </w:rPr>
      </w:pPr>
      <w:r>
        <w:rPr>
          <w:rFonts w:hint="eastAsia" w:ascii="方正仿宋简体" w:hAnsi="方正仿宋简体" w:eastAsia="方正仿宋简体" w:cs="方正仿宋简体"/>
          <w:b/>
          <w:bCs/>
          <w:color w:val="auto"/>
          <w:kern w:val="2"/>
          <w:sz w:val="32"/>
          <w:szCs w:val="32"/>
          <w:highlight w:val="none"/>
          <w:shd w:val="clear" w:color="auto" w:fill="auto"/>
          <w:lang w:val="en-US" w:eastAsia="zh-CN" w:bidi="zh-CN"/>
        </w:rPr>
        <w:t>（3）满意度目标</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服务对象满意度指标</w:t>
      </w:r>
    </w:p>
    <w:p>
      <w:pPr>
        <w:pStyle w:val="2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outlineLvl w:val="2"/>
        <w:rPr>
          <w:rFonts w:hint="eastAsia" w:ascii="方正仿宋_GBK" w:hAnsi="方正仿宋_GBK" w:eastAsia="方正仿宋_GBK" w:cs="方正仿宋_GBK"/>
          <w:b/>
          <w:bCs/>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“受益师生满意度”指标，预期指标值为大于等于95%。</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黑体_GBK" w:hAnsi="方正黑体_GBK" w:eastAsia="方正黑体_GBK" w:cs="方正黑体_GBK"/>
          <w:b w:val="0"/>
          <w:bCs/>
          <w:color w:val="auto"/>
          <w:sz w:val="32"/>
          <w:szCs w:val="32"/>
          <w:shd w:val="clear" w:color="auto" w:fill="auto"/>
          <w:lang w:val="en-US" w:eastAsia="zh-CN"/>
        </w:rPr>
      </w:pPr>
      <w:bookmarkStart w:id="174" w:name="_Toc14745"/>
      <w:bookmarkStart w:id="175" w:name="_Toc19627"/>
      <w:bookmarkStart w:id="176" w:name="_Toc2612"/>
      <w:bookmarkStart w:id="177" w:name="_Toc27342"/>
      <w:bookmarkStart w:id="178" w:name="_Toc3758"/>
      <w:bookmarkStart w:id="179" w:name="_Toc24088"/>
      <w:bookmarkStart w:id="180" w:name="_Toc15932"/>
      <w:r>
        <w:rPr>
          <w:rFonts w:hint="eastAsia" w:ascii="方正黑体_GBK" w:hAnsi="方正黑体_GBK" w:eastAsia="方正黑体_GBK" w:cs="方正黑体_GBK"/>
          <w:b w:val="0"/>
          <w:bCs/>
          <w:color w:val="auto"/>
          <w:sz w:val="32"/>
          <w:szCs w:val="32"/>
          <w:shd w:val="clear" w:color="auto" w:fill="auto"/>
          <w:lang w:val="en-US" w:eastAsia="zh-CN"/>
        </w:rPr>
        <w:t>二、绩效评价工作开展情况</w:t>
      </w:r>
      <w:bookmarkEnd w:id="174"/>
      <w:bookmarkEnd w:id="175"/>
      <w:bookmarkEnd w:id="176"/>
      <w:bookmarkEnd w:id="177"/>
      <w:bookmarkEnd w:id="178"/>
      <w:bookmarkEnd w:id="179"/>
      <w:bookmarkEnd w:id="180"/>
      <w:bookmarkStart w:id="181" w:name="_TOC_250000"/>
      <w:bookmarkEnd w:id="18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_GBK" w:hAnsi="方正仿宋_GBK" w:eastAsia="方正仿宋_GBK" w:cs="方正仿宋_GBK"/>
          <w:color w:val="auto"/>
          <w:sz w:val="32"/>
          <w:szCs w:val="32"/>
          <w:shd w:val="clear" w:color="auto" w:fill="auto"/>
          <w:lang w:val="en-US" w:eastAsia="zh-CN"/>
        </w:rPr>
      </w:pPr>
      <w:bookmarkStart w:id="182" w:name="_Toc596"/>
      <w:bookmarkStart w:id="183" w:name="_Toc192"/>
      <w:bookmarkStart w:id="184" w:name="_Toc5198"/>
      <w:bookmarkStart w:id="185" w:name="_Toc14263"/>
      <w:bookmarkStart w:id="186" w:name="_Toc5588"/>
      <w:bookmarkStart w:id="187" w:name="_Toc19016"/>
      <w:r>
        <w:rPr>
          <w:rFonts w:hint="eastAsia" w:ascii="方正仿宋简体" w:hAnsi="方正仿宋简体" w:eastAsia="方正仿宋简体" w:cs="方正仿宋简体"/>
          <w:color w:val="auto"/>
          <w:sz w:val="32"/>
          <w:szCs w:val="32"/>
          <w:shd w:val="clear" w:color="auto" w:fill="auto"/>
          <w:lang w:val="en-US" w:eastAsia="zh-CN"/>
        </w:rPr>
        <w:t>（一）绩效评价目的、对象和范围</w:t>
      </w:r>
      <w:bookmarkEnd w:id="182"/>
      <w:bookmarkEnd w:id="183"/>
      <w:bookmarkEnd w:id="184"/>
      <w:bookmarkEnd w:id="185"/>
      <w:bookmarkEnd w:id="186"/>
      <w:bookmarkEnd w:id="18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b w:val="0"/>
          <w:bCs/>
          <w:color w:val="auto"/>
          <w:sz w:val="32"/>
          <w:szCs w:val="32"/>
          <w:shd w:val="clear" w:color="auto" w:fill="auto"/>
          <w:lang w:val="en-US" w:eastAsia="zh-CN"/>
        </w:rPr>
      </w:pPr>
      <w:bookmarkStart w:id="188" w:name="_Toc1261"/>
      <w:bookmarkStart w:id="189" w:name="_Toc27392"/>
      <w:bookmarkStart w:id="190" w:name="_Toc15860"/>
      <w:r>
        <w:rPr>
          <w:rFonts w:hint="eastAsia" w:ascii="方正仿宋简体" w:hAnsi="方正仿宋简体" w:eastAsia="方正仿宋简体" w:cs="方正仿宋简体"/>
          <w:color w:val="auto"/>
          <w:sz w:val="32"/>
          <w:szCs w:val="32"/>
          <w:shd w:val="clear" w:color="auto" w:fill="auto"/>
          <w:lang w:val="en-US" w:eastAsia="zh-CN"/>
        </w:rPr>
        <w:t>1.绩效评价目的</w:t>
      </w:r>
      <w:bookmarkEnd w:id="188"/>
      <w:bookmarkEnd w:id="189"/>
      <w:bookmarkEnd w:id="190"/>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191" w:name="_Toc2448"/>
      <w:bookmarkStart w:id="192" w:name="_Toc3998"/>
      <w:bookmarkStart w:id="193" w:name="_Toc4347"/>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w:t>
      </w:r>
      <w:bookmarkEnd w:id="191"/>
      <w:bookmarkEnd w:id="192"/>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194" w:name="_Toc25451"/>
      <w:bookmarkStart w:id="195" w:name="_Toc31189"/>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绩效评价的目的是发现预算资金在项目立项、执行管理中制度保障、实际操作方面的缺陷和薄弱环节，同时总结提炼项目和部门的经验做法，为预算部门改进、完善项目管理和预算管理提供可行性参考建议。也为下一年预算编制与评审提供充分有效的依据，以达到改进预算管理、优化资源配置、提高预算资金使用效益的目的。</w:t>
      </w:r>
      <w:bookmarkEnd w:id="194"/>
      <w:bookmarkEnd w:id="19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196" w:name="_Toc4760"/>
      <w:bookmarkStart w:id="197" w:name="_Toc31952"/>
      <w:r>
        <w:rPr>
          <w:rFonts w:hint="eastAsia" w:ascii="方正仿宋简体" w:hAnsi="方正仿宋简体" w:eastAsia="方正仿宋简体" w:cs="方正仿宋简体"/>
          <w:color w:val="auto"/>
          <w:sz w:val="32"/>
          <w:szCs w:val="32"/>
          <w:shd w:val="clear" w:color="auto" w:fill="auto"/>
          <w:lang w:val="en-US" w:eastAsia="zh-CN"/>
        </w:rPr>
        <w:t>2.绩效评价对象</w:t>
      </w:r>
      <w:bookmarkEnd w:id="193"/>
      <w:bookmarkEnd w:id="196"/>
      <w:bookmarkEnd w:id="19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198" w:name="_Toc25416"/>
      <w:bookmarkStart w:id="199" w:name="_Toc24814"/>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绩效评价遵循财政部《项目支出绩效评价管理办法》（财预〔2020〕10号）和自治区财政厅《自治区财政支出绩效评价管理暂行办法》（新财预〔2018〕189号）等相关政策文件与规定，对莎车县基础教育设施设备提升（“优分优育”计划）项目展开评价，主要评价该项目的投入、产出及效益。</w:t>
      </w:r>
      <w:bookmarkEnd w:id="198"/>
      <w:bookmarkEnd w:id="19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00" w:name="_Toc28781"/>
      <w:bookmarkStart w:id="201" w:name="_Toc22843"/>
      <w:bookmarkStart w:id="202" w:name="_Toc6048"/>
      <w:r>
        <w:rPr>
          <w:rFonts w:hint="eastAsia" w:ascii="方正仿宋简体" w:hAnsi="方正仿宋简体" w:eastAsia="方正仿宋简体" w:cs="方正仿宋简体"/>
          <w:color w:val="auto"/>
          <w:sz w:val="32"/>
          <w:szCs w:val="32"/>
          <w:shd w:val="clear" w:color="auto" w:fill="auto"/>
          <w:lang w:val="en-US" w:eastAsia="zh-CN"/>
        </w:rPr>
        <w:t>3.绩效评价范围</w:t>
      </w:r>
      <w:bookmarkEnd w:id="200"/>
      <w:bookmarkEnd w:id="201"/>
      <w:bookmarkEnd w:id="202"/>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color w:val="auto"/>
          <w:sz w:val="32"/>
          <w:szCs w:val="32"/>
          <w:shd w:val="clear" w:color="auto" w:fill="auto"/>
        </w:rPr>
      </w:pPr>
      <w:bookmarkStart w:id="203" w:name="_Toc7990"/>
      <w:bookmarkStart w:id="204" w:name="_Toc29699"/>
      <w:bookmarkStart w:id="205" w:name="_Toc10152"/>
      <w:bookmarkStart w:id="206" w:name="_Toc32655"/>
      <w:bookmarkStart w:id="207" w:name="_Toc2961"/>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本次绩效评价范围主要围绕项目决策情况、项目管理、产出情况、效益情况、资金管理和使用情况、相关管理制度办法的健全性及执行情况，以及其他相关内容。</w:t>
      </w:r>
    </w:p>
    <w:bookmarkEnd w:id="203"/>
    <w:bookmarkEnd w:id="204"/>
    <w:bookmarkEnd w:id="205"/>
    <w:bookmarkEnd w:id="206"/>
    <w:bookmarkEnd w:id="207"/>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08" w:name="_Toc21640"/>
      <w:bookmarkStart w:id="209" w:name="_Toc7351"/>
      <w:bookmarkStart w:id="210" w:name="_Toc19251"/>
      <w:r>
        <w:rPr>
          <w:rFonts w:hint="eastAsia" w:ascii="方正仿宋简体" w:hAnsi="方正仿宋简体" w:eastAsia="方正仿宋简体" w:cs="方正仿宋简体"/>
          <w:color w:val="auto"/>
          <w:sz w:val="32"/>
          <w:szCs w:val="32"/>
          <w:shd w:val="clear" w:color="auto" w:fill="auto"/>
          <w:lang w:val="en-US" w:eastAsia="zh-CN"/>
        </w:rPr>
        <w:t>（二）绩效评价原则、评价指标体系、评价方法、评价标准</w:t>
      </w:r>
      <w:bookmarkEnd w:id="208"/>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11" w:name="_Toc1602"/>
      <w:bookmarkStart w:id="212" w:name="_Toc19362"/>
      <w:bookmarkStart w:id="213" w:name="_Toc22525"/>
      <w:bookmarkStart w:id="214" w:name="_Toc29251"/>
      <w:bookmarkStart w:id="215" w:name="_Toc26481"/>
      <w:bookmarkStart w:id="216" w:name="_Toc31771"/>
      <w:bookmarkStart w:id="217" w:name="_Toc19444"/>
      <w:r>
        <w:rPr>
          <w:rFonts w:hint="eastAsia" w:ascii="方正仿宋简体" w:hAnsi="方正仿宋简体" w:eastAsia="方正仿宋简体" w:cs="方正仿宋简体"/>
          <w:color w:val="auto"/>
          <w:sz w:val="32"/>
          <w:szCs w:val="32"/>
          <w:shd w:val="clear" w:color="auto" w:fill="auto"/>
          <w:lang w:val="en-US" w:eastAsia="zh-CN"/>
        </w:rPr>
        <w:t>1.绩效评价原则</w:t>
      </w:r>
      <w:bookmarkEnd w:id="211"/>
      <w:bookmarkEnd w:id="212"/>
      <w:bookmarkEnd w:id="213"/>
      <w:bookmarkEnd w:id="214"/>
      <w:bookmarkEnd w:id="215"/>
      <w:bookmarkEnd w:id="216"/>
      <w:bookmarkEnd w:id="217"/>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（1）依法依规原则。绩效评价各个环节，充分体现依法依规要求，严格按照规定的管理程序和方法运作。</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（2）科学规范原则。落实相关政策文件情况，按照科学可行的要求，采取定性与定量相结合的分析方法，严格遵守规定程序。</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（3）客观公正原则。绩效评价人员本着客观、公正的态度进行项目评价，评价结果依法公开，并接受公众监督。</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（4）绩效相关原则。在进行绩效评价时，重点关注项目产出情况，包括资金支付与项目实施进度，并对其进行比较，准确反映出二者的关系。</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（5）激励约束原则。绩效评价结果与预算安排、政策调整、改进管理实质性挂钩，体现奖优罚劣和激励相容导向，有效要安排、低效要压减、无效要问责。</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6）统筹兼顾。单位自评、部门评价和财政评价应职责明确，各有侧重，相互衔接。单位自评应由项目单位自主实施，即“谁支出、谁自评”。部门评价和财政评价应在单位自评的基础上开展，必要时可委托第三方机构实施。</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18" w:name="_Toc21184"/>
      <w:bookmarkStart w:id="219" w:name="_Toc27139"/>
      <w:r>
        <w:rPr>
          <w:rFonts w:hint="eastAsia" w:ascii="方正仿宋简体" w:hAnsi="方正仿宋简体" w:eastAsia="方正仿宋简体" w:cs="方正仿宋简体"/>
          <w:color w:val="auto"/>
          <w:sz w:val="32"/>
          <w:szCs w:val="32"/>
          <w:shd w:val="clear" w:color="auto" w:fill="auto"/>
          <w:lang w:val="en-US" w:eastAsia="zh-CN"/>
        </w:rPr>
        <w:t>2.评价指标体系</w:t>
      </w:r>
      <w:bookmarkEnd w:id="218"/>
      <w:bookmarkEnd w:id="219"/>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本次绩效评价指标体系按照《财政部关于印发〈项目支出绩效评价管理办法〉的通知》（财预〔2020〕10号）文件要求设置，由决策、过程、产出、效益4个一级指标。10个二级指标、17个三级指标构成。</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一级指标为：决策（20分）、过程（20分）、产出（40分）、效益（20分），共计100分。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二级指标为：项目立项（5分）、绩效目标（5分）、资金投入（10分）、资金管理（15分）、组织实施（5分）、产出数量（10分）、产出质量（10分）、产出时效（10分）、产出成本（10分）、项目效益（20分），共计100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三级指标为：立项依据充分性（3分）、立项程序规范性（2分）、绩效目标合理性（3分）、绩效指标明确性（2分）、预算编制科学性（5分）、资金分配合理性（5分）、资金到位率（5分）、预算执行率（5分）、资金使用合规性（5分）、管理制度健全性（2分）、制度执行有效性（3分）、实际完成率（10分）、质量达标率（10分）、完成及时性（10分）、成本节约率（10分）、实施效益（10分）、服务对象满意度（10分），共计100分。</w:t>
      </w:r>
    </w:p>
    <w:tbl>
      <w:tblPr>
        <w:tblStyle w:val="15"/>
        <w:tblW w:w="5000" w:type="pct"/>
        <w:jc w:val="center"/>
        <w:tblLayout w:type="autofit"/>
        <w:tblCellMar>
          <w:top w:w="0" w:type="dxa"/>
          <w:left w:w="0" w:type="dxa"/>
          <w:bottom w:w="0" w:type="dxa"/>
          <w:right w:w="0" w:type="dxa"/>
        </w:tblCellMar>
      </w:tblPr>
      <w:tblGrid>
        <w:gridCol w:w="1999"/>
        <w:gridCol w:w="2664"/>
        <w:gridCol w:w="3341"/>
        <w:gridCol w:w="850"/>
      </w:tblGrid>
      <w:tr>
        <w:tblPrEx>
          <w:tblCellMar>
            <w:top w:w="0" w:type="dxa"/>
            <w:left w:w="0" w:type="dxa"/>
            <w:bottom w:w="0" w:type="dxa"/>
            <w:right w:w="0" w:type="dxa"/>
          </w:tblCellMar>
        </w:tblPrEx>
        <w:trPr>
          <w:trHeight w:val="40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分值</w:t>
            </w:r>
          </w:p>
        </w:tc>
      </w:tr>
      <w:tr>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决策（20分）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项目立项（5分）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立项依据充分性（3分）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3</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立项程序规范性（2分）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绩效目标（5分）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绩效目标（3分）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3</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绩效指标（2分）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资金投入（10分）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预算编制（5分）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资金分配合理性（5分）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w:t>
            </w:r>
          </w:p>
        </w:tc>
      </w:tr>
      <w:tr>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过程（20分）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资金管理（15分）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资金到位率（5分）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预算执行率（5分）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资金使用合规性（5分）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5</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组织实施（5分）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管理制度健全性（2分）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制度执行（3分）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3</w:t>
            </w:r>
          </w:p>
        </w:tc>
      </w:tr>
      <w:tr>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产出（40分）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产出数量（10分）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实际完成率（10分）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产出质量（10分）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质量达标率（10分）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产出时效（10分）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完成及时性（10分）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产出成本（10分）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成本节约率（10分）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效益（20分）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项目效益（20分）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实施效益（10分）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1" w:after="0" w:afterAutospacing="1"/>
              <w:ind w:left="0" w:right="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满意度（10分）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w:t>
            </w:r>
          </w:p>
        </w:tc>
      </w:tr>
      <w:tr>
        <w:tblPrEx>
          <w:tblCellMar>
            <w:top w:w="0" w:type="dxa"/>
            <w:left w:w="0" w:type="dxa"/>
            <w:bottom w:w="0" w:type="dxa"/>
            <w:right w:w="0" w:type="dxa"/>
          </w:tblCellMar>
        </w:tblPrEx>
        <w:trPr>
          <w:trHeight w:val="400"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100</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20" w:name="_Toc20656"/>
      <w:bookmarkStart w:id="221" w:name="_Toc1983"/>
      <w:r>
        <w:rPr>
          <w:rFonts w:hint="eastAsia" w:ascii="方正仿宋简体" w:hAnsi="方正仿宋简体" w:eastAsia="方正仿宋简体" w:cs="方正仿宋简体"/>
          <w:color w:val="auto"/>
          <w:sz w:val="32"/>
          <w:szCs w:val="32"/>
          <w:shd w:val="clear" w:color="auto" w:fill="auto"/>
          <w:lang w:val="en-US" w:eastAsia="zh-CN"/>
        </w:rPr>
        <w:t>3.绩效评价方法</w:t>
      </w:r>
      <w:bookmarkEnd w:id="220"/>
      <w:bookmarkEnd w:id="221"/>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评价的方法按照《财政部关于印发〈项目支出绩效评价管理办法〉的通知》（财预〔2020〕10号）要求，主要采取比较法和调查法。一是比较法。对项目支出情况及建设后的产出及效果与项目实施计划目标进行比较，分析预计目标的完成程度。二是调查法（包括抽样调查、现场调查和问卷调查）。抽样调查是从评价项目中，抽取一部分内容进行实地考察和分析，并根据这部分内容的特征去推断项目全部的特征。现场调查是通过现场抽查、询问等方法，对项目效益等指标进行复核性评价。问卷调查是针对项目区利益相关方实施的调查，并对调查结果进行统计、分析和评定。</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22" w:name="_Toc30750"/>
      <w:bookmarkStart w:id="223" w:name="_Toc21270"/>
      <w:r>
        <w:rPr>
          <w:rFonts w:hint="eastAsia" w:ascii="方正仿宋简体" w:hAnsi="方正仿宋简体" w:eastAsia="方正仿宋简体" w:cs="方正仿宋简体"/>
          <w:color w:val="auto"/>
          <w:sz w:val="32"/>
          <w:szCs w:val="32"/>
          <w:shd w:val="clear" w:color="auto" w:fill="auto"/>
          <w:lang w:val="en-US" w:eastAsia="zh-CN"/>
        </w:rPr>
        <w:t>4.绩效评价标准</w:t>
      </w:r>
      <w:bookmarkEnd w:id="222"/>
      <w:bookmarkEnd w:id="223"/>
    </w:p>
    <w:bookmarkEnd w:id="209"/>
    <w:bookmarkEnd w:id="210"/>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24" w:name="_Toc28090"/>
      <w:bookmarkStart w:id="225" w:name="_Toc32177"/>
      <w:bookmarkStart w:id="226" w:name="_Toc242"/>
      <w:bookmarkStart w:id="227" w:name="_Toc9682"/>
      <w:bookmarkStart w:id="228" w:name="_Toc6819"/>
      <w:bookmarkStart w:id="229" w:name="_Toc21253"/>
      <w:bookmarkStart w:id="230" w:name="_Toc10700"/>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本次绩效评价坚持“目标引领、系统评价、科学客观”的总体工作思路，采取现场评价和非现场评价相结合，坚持定量优先、简便有效的原则。遵循定量为主，定量、定性相结合的原则。参照采集的相关数据材料制订评价标准；采用比较法、文献法、社会调查法、实地核查法等方法进行综合评价，形成总体评价结论。具体评价方法如下：</w:t>
      </w:r>
      <w:bookmarkEnd w:id="224"/>
      <w:bookmarkEnd w:id="225"/>
    </w:p>
    <w:p>
      <w:pP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比较法：通过整理该项目相关资料和数据，评价数量指标的完成情况；通过分析项目的实施情况与绩效目标实现情况，评价项目实施的效果；通过分析项目资金使用情况及产生的效果，评价预算资金分配的合理性。</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31" w:name="_Toc13612"/>
      <w:bookmarkStart w:id="232" w:name="_Toc3689"/>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（2）文献法：通过检索、查阅、梳理本项目相关的文件制度、会议纪要、单位职能、管理办法等相关材料，了解本项目立项依据的充分性及立项的规范性。</w:t>
      </w:r>
      <w:bookmarkEnd w:id="231"/>
      <w:bookmarkEnd w:id="232"/>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33" w:name="_Toc26309"/>
      <w:bookmarkStart w:id="234" w:name="_Toc17090"/>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3）社会调查法：社会调查是深入了解项目参与主体和利益相关方对项目认知及态度的主要方法，同时也是搜集标准统计数据的有效途径。绩效评价工作小组将采用实地访谈、问卷调查等方法对项目进行深入调研，充分掌握项目的内容、实施过程、实施效果等，为评价指标评分和结果分析提供支撑。</w:t>
      </w:r>
      <w:bookmarkEnd w:id="233"/>
      <w:bookmarkEnd w:id="234"/>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35" w:name="_Toc12716"/>
      <w:bookmarkStart w:id="236" w:name="_Toc12315"/>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（4）实地核查法：通过核查实施单位专项资金凭证及账册，核实项目资金拨付时间、金额等，核实各项支出是否按照相关财务管理制度、合同约定等执行，是否存在超范围列支的情况。</w:t>
      </w:r>
      <w:bookmarkEnd w:id="235"/>
      <w:bookmarkEnd w:id="236"/>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楷体_GBK" w:hAnsi="方正楷体_GBK" w:eastAsia="方正楷体_GBK" w:cs="方正楷体_GBK"/>
          <w:b/>
          <w:bCs w:val="0"/>
          <w:color w:val="auto"/>
          <w:sz w:val="32"/>
          <w:szCs w:val="32"/>
          <w:shd w:val="clear" w:color="auto" w:fill="auto"/>
          <w:lang w:val="en-US" w:eastAsia="zh-CN"/>
        </w:rPr>
      </w:pPr>
      <w:bookmarkStart w:id="237" w:name="_Toc2932"/>
      <w:r>
        <w:rPr>
          <w:rFonts w:hint="eastAsia" w:ascii="方正楷体_GBK" w:hAnsi="方正楷体_GBK" w:eastAsia="方正楷体_GBK" w:cs="方正楷体_GBK"/>
          <w:b/>
          <w:bCs w:val="0"/>
          <w:color w:val="auto"/>
          <w:sz w:val="32"/>
          <w:szCs w:val="32"/>
          <w:shd w:val="clear" w:color="auto" w:fill="auto"/>
          <w:lang w:val="en-US" w:eastAsia="zh-CN"/>
        </w:rPr>
        <w:t>（三）绩效评价工作过程</w:t>
      </w:r>
      <w:bookmarkEnd w:id="23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38" w:name="_Toc27471"/>
      <w:bookmarkStart w:id="239" w:name="_Toc79"/>
      <w:r>
        <w:rPr>
          <w:rFonts w:hint="eastAsia" w:ascii="方正仿宋简体" w:hAnsi="方正仿宋简体" w:eastAsia="方正仿宋简体" w:cs="方正仿宋简体"/>
          <w:color w:val="auto"/>
          <w:sz w:val="32"/>
          <w:szCs w:val="32"/>
          <w:shd w:val="clear" w:color="auto" w:fill="auto"/>
          <w:lang w:val="en-US" w:eastAsia="zh-CN"/>
        </w:rPr>
        <w:t>第一阶段：前期准备。</w:t>
      </w:r>
      <w:bookmarkEnd w:id="238"/>
      <w:bookmarkEnd w:id="23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40" w:name="_Toc14034"/>
      <w:bookmarkStart w:id="241" w:name="_Toc28186"/>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新疆鸿晟达信息咨询有限公司作为专业第三方机构，承担本项目评价职责，成立绩效评价工作小组，组长：路振蕊，副组长：胡超，成员：迪娜克孜、赵秀娟、蒋艳，按绩效评价工作程序开展绩效评价工作。具体分工如下：</w:t>
      </w:r>
      <w:bookmarkEnd w:id="240"/>
      <w:bookmarkEnd w:id="241"/>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086"/>
        <w:gridCol w:w="1046"/>
        <w:gridCol w:w="4053"/>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CFCECE"/>
            <w:noWrap w:val="0"/>
            <w:vAlign w:val="top"/>
          </w:tcPr>
          <w:p>
            <w:pPr>
              <w:keepNext w:val="0"/>
              <w:keepLines w:val="0"/>
              <w:suppressLineNumbers w:val="0"/>
              <w:spacing w:before="0" w:beforeAutospacing="0" w:after="0" w:afterAutospacing="0" w:line="560" w:lineRule="exact"/>
              <w:ind w:left="0" w:right="0" w:firstLine="0" w:firstLineChars="0"/>
              <w:jc w:val="both"/>
              <w:rPr>
                <w:rFonts w:hint="eastAsia" w:ascii="方正仿宋_GBK" w:hAnsi="方正仿宋_GBK" w:eastAsia="宋体" w:cs="Times New Roman"/>
                <w:color w:val="auto"/>
                <w:sz w:val="21"/>
                <w:szCs w:val="24"/>
                <w:shd w:val="clear" w:color="auto" w:fill="auto"/>
                <w:vertAlign w:val="baseline"/>
                <w:lang w:eastAsia="zh-CN"/>
              </w:rPr>
            </w:pPr>
            <w:r>
              <w:rPr>
                <w:rFonts w:hint="eastAsia" w:ascii="方正仿宋_GBK" w:hAnsi="方正仿宋_GBK" w:eastAsia="宋体" w:cs="Times New Roman"/>
                <w:color w:val="auto"/>
                <w:sz w:val="21"/>
                <w:szCs w:val="24"/>
                <w:shd w:val="clear" w:color="auto" w:fill="auto"/>
                <w:vertAlign w:val="baseline"/>
                <w:lang w:eastAsia="zh-CN"/>
              </w:rPr>
              <w:t>序号</w:t>
            </w:r>
          </w:p>
        </w:tc>
        <w:tc>
          <w:tcPr>
            <w:tcW w:w="1086" w:type="dxa"/>
            <w:shd w:val="clear" w:color="auto" w:fill="CFCECE"/>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方正仿宋_GBK" w:hAnsi="方正仿宋_GBK" w:eastAsia="宋体" w:cs="Times New Roman"/>
                <w:color w:val="auto"/>
                <w:sz w:val="21"/>
                <w:szCs w:val="24"/>
                <w:shd w:val="clear" w:color="auto" w:fill="auto"/>
                <w:vertAlign w:val="baseline"/>
                <w:lang w:eastAsia="zh-CN"/>
              </w:rPr>
            </w:pPr>
            <w:r>
              <w:rPr>
                <w:rFonts w:hint="eastAsia" w:ascii="方正仿宋_GBK" w:hAnsi="方正仿宋_GBK" w:eastAsia="宋体" w:cs="Times New Roman"/>
                <w:color w:val="auto"/>
                <w:sz w:val="21"/>
                <w:szCs w:val="24"/>
                <w:shd w:val="clear" w:color="auto" w:fill="auto"/>
                <w:vertAlign w:val="baseline"/>
                <w:lang w:eastAsia="zh-CN"/>
              </w:rPr>
              <w:t>姓名</w:t>
            </w:r>
          </w:p>
        </w:tc>
        <w:tc>
          <w:tcPr>
            <w:tcW w:w="1046" w:type="dxa"/>
            <w:shd w:val="clear" w:color="auto" w:fill="CFCECE"/>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方正仿宋_GBK" w:hAnsi="方正仿宋_GBK" w:eastAsia="宋体" w:cs="Times New Roman"/>
                <w:color w:val="auto"/>
                <w:sz w:val="21"/>
                <w:szCs w:val="24"/>
                <w:shd w:val="clear" w:color="auto" w:fill="auto"/>
                <w:vertAlign w:val="baseline"/>
                <w:lang w:eastAsia="zh-CN"/>
              </w:rPr>
            </w:pPr>
            <w:r>
              <w:rPr>
                <w:rFonts w:hint="eastAsia" w:ascii="方正仿宋_GBK" w:hAnsi="方正仿宋_GBK" w:eastAsia="宋体" w:cs="Times New Roman"/>
                <w:color w:val="auto"/>
                <w:sz w:val="21"/>
                <w:szCs w:val="24"/>
                <w:shd w:val="clear" w:color="auto" w:fill="auto"/>
                <w:vertAlign w:val="baseline"/>
                <w:lang w:eastAsia="zh-CN"/>
              </w:rPr>
              <w:t>职务</w:t>
            </w:r>
          </w:p>
        </w:tc>
        <w:tc>
          <w:tcPr>
            <w:tcW w:w="4053" w:type="dxa"/>
            <w:shd w:val="clear" w:color="auto" w:fill="CFCECE"/>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方正仿宋_GBK" w:hAnsi="方正仿宋_GBK" w:eastAsia="宋体" w:cs="Times New Roman"/>
                <w:color w:val="auto"/>
                <w:sz w:val="21"/>
                <w:szCs w:val="24"/>
                <w:shd w:val="clear" w:color="auto" w:fill="auto"/>
                <w:vertAlign w:val="baseline"/>
                <w:lang w:eastAsia="zh-CN"/>
              </w:rPr>
            </w:pPr>
            <w:r>
              <w:rPr>
                <w:rFonts w:hint="eastAsia" w:ascii="方正仿宋_GBK" w:hAnsi="方正仿宋_GBK" w:eastAsia="宋体" w:cs="Times New Roman"/>
                <w:color w:val="auto"/>
                <w:sz w:val="21"/>
                <w:szCs w:val="24"/>
                <w:shd w:val="clear" w:color="auto" w:fill="auto"/>
                <w:vertAlign w:val="baseline"/>
                <w:lang w:eastAsia="zh-CN"/>
              </w:rPr>
              <w:t>责任分工</w:t>
            </w:r>
          </w:p>
        </w:tc>
        <w:tc>
          <w:tcPr>
            <w:tcW w:w="1513" w:type="dxa"/>
            <w:shd w:val="clear" w:color="auto" w:fill="CFCECE"/>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方正仿宋_GBK" w:hAnsi="方正仿宋_GBK" w:eastAsia="宋体" w:cs="Times New Roman"/>
                <w:color w:val="auto"/>
                <w:sz w:val="21"/>
                <w:szCs w:val="24"/>
                <w:shd w:val="clear" w:color="auto" w:fill="auto"/>
                <w:vertAlign w:val="baseline"/>
                <w:lang w:eastAsia="zh-CN"/>
              </w:rPr>
            </w:pPr>
            <w:r>
              <w:rPr>
                <w:rFonts w:hint="eastAsia" w:ascii="方正仿宋_GBK" w:hAnsi="方正仿宋_GBK" w:eastAsia="宋体" w:cs="Times New Roman"/>
                <w:color w:val="auto"/>
                <w:sz w:val="21"/>
                <w:szCs w:val="24"/>
                <w:shd w:val="clear" w:color="auto" w:fill="auto"/>
                <w:vertAlign w:val="baseline"/>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w:t>
            </w:r>
          </w:p>
        </w:tc>
        <w:tc>
          <w:tcPr>
            <w:tcW w:w="1086"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路振蕊</w:t>
            </w:r>
          </w:p>
        </w:tc>
        <w:tc>
          <w:tcPr>
            <w:tcW w:w="1046"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评价终审</w:t>
            </w:r>
          </w:p>
        </w:tc>
        <w:tc>
          <w:tcPr>
            <w:tcW w:w="4053"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终审把关评价报告</w:t>
            </w:r>
          </w:p>
        </w:tc>
        <w:tc>
          <w:tcPr>
            <w:tcW w:w="1513" w:type="dxa"/>
            <w:noWrap w:val="0"/>
            <w:vAlign w:val="top"/>
          </w:tcPr>
          <w:p>
            <w:pPr>
              <w:keepNext w:val="0"/>
              <w:keepLines w:val="0"/>
              <w:suppressLineNumbers w:val="0"/>
              <w:spacing w:before="0" w:beforeAutospacing="0" w:after="0" w:afterAutospacing="0" w:line="560" w:lineRule="exact"/>
              <w:ind w:left="0" w:right="0" w:firstLine="0" w:firstLineChars="0"/>
              <w:rPr>
                <w:rFonts w:hint="default"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18299661021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kern w:val="2"/>
                <w:sz w:val="20"/>
                <w:szCs w:val="22"/>
                <w:shd w:val="clear" w:color="auto" w:fill="auto"/>
                <w:vertAlign w:val="baseline"/>
                <w:lang w:val="en-US" w:eastAsia="zh-CN" w:bidi="ar-SA"/>
              </w:rPr>
              <w:t>2</w:t>
            </w:r>
          </w:p>
        </w:tc>
        <w:tc>
          <w:tcPr>
            <w:tcW w:w="1086"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sz w:val="20"/>
                <w:szCs w:val="22"/>
                <w:shd w:val="clear" w:color="auto" w:fill="auto"/>
                <w:vertAlign w:val="baseline"/>
                <w:lang w:eastAsia="zh-CN"/>
              </w:rPr>
              <w:t>胡超</w:t>
            </w:r>
          </w:p>
        </w:tc>
        <w:tc>
          <w:tcPr>
            <w:tcW w:w="1046"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项目组长</w:t>
            </w:r>
          </w:p>
        </w:tc>
        <w:tc>
          <w:tcPr>
            <w:tcW w:w="4053"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复核评价报告及工作资料</w:t>
            </w:r>
          </w:p>
        </w:tc>
        <w:tc>
          <w:tcPr>
            <w:tcW w:w="1513" w:type="dxa"/>
            <w:noWrap w:val="0"/>
            <w:vAlign w:val="top"/>
          </w:tcPr>
          <w:p>
            <w:pPr>
              <w:keepNext w:val="0"/>
              <w:keepLines w:val="0"/>
              <w:suppressLineNumbers w:val="0"/>
              <w:spacing w:before="0" w:beforeAutospacing="0" w:after="0" w:afterAutospacing="0" w:line="560" w:lineRule="exact"/>
              <w:ind w:left="0" w:right="0" w:firstLine="0" w:firstLineChars="0"/>
              <w:rPr>
                <w:rFonts w:hint="default"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18399127771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kern w:val="2"/>
                <w:sz w:val="20"/>
                <w:szCs w:val="22"/>
                <w:shd w:val="clear" w:color="auto" w:fill="auto"/>
                <w:vertAlign w:val="baseline"/>
                <w:lang w:val="en-US" w:eastAsia="zh-CN" w:bidi="ar-SA"/>
              </w:rPr>
              <w:t>3</w:t>
            </w:r>
          </w:p>
        </w:tc>
        <w:tc>
          <w:tcPr>
            <w:tcW w:w="1086"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sz w:val="20"/>
                <w:szCs w:val="22"/>
                <w:shd w:val="clear" w:color="auto" w:fill="auto"/>
                <w:vertAlign w:val="baseline"/>
                <w:lang w:eastAsia="zh-CN"/>
              </w:rPr>
              <w:t>迪娜克孜</w:t>
            </w:r>
          </w:p>
        </w:tc>
        <w:tc>
          <w:tcPr>
            <w:tcW w:w="1046"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项目助理</w:t>
            </w:r>
          </w:p>
        </w:tc>
        <w:tc>
          <w:tcPr>
            <w:tcW w:w="4053"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搜集项目资料，审核项目，撰写报告。</w:t>
            </w:r>
          </w:p>
        </w:tc>
        <w:tc>
          <w:tcPr>
            <w:tcW w:w="1513" w:type="dxa"/>
            <w:noWrap w:val="0"/>
            <w:vAlign w:val="top"/>
          </w:tcPr>
          <w:p>
            <w:pPr>
              <w:keepNext w:val="0"/>
              <w:keepLines w:val="0"/>
              <w:suppressLineNumbers w:val="0"/>
              <w:spacing w:before="0" w:beforeAutospacing="0" w:after="0" w:afterAutospacing="0" w:line="560" w:lineRule="exact"/>
              <w:ind w:left="0" w:right="0" w:firstLine="0" w:firstLineChars="0"/>
              <w:rPr>
                <w:rFonts w:hint="default"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13899884709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kern w:val="2"/>
                <w:sz w:val="20"/>
                <w:szCs w:val="22"/>
                <w:shd w:val="clear" w:color="auto" w:fill="auto"/>
                <w:vertAlign w:val="baseline"/>
                <w:lang w:val="en-US" w:eastAsia="zh-CN" w:bidi="ar-SA"/>
              </w:rPr>
              <w:t>4</w:t>
            </w:r>
          </w:p>
        </w:tc>
        <w:tc>
          <w:tcPr>
            <w:tcW w:w="1086"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sz w:val="20"/>
                <w:szCs w:val="22"/>
                <w:shd w:val="clear" w:color="auto" w:fill="auto"/>
                <w:vertAlign w:val="baseline"/>
                <w:lang w:eastAsia="zh-CN"/>
              </w:rPr>
              <w:t>赵秀娟</w:t>
            </w:r>
          </w:p>
        </w:tc>
        <w:tc>
          <w:tcPr>
            <w:tcW w:w="1046"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rPr>
            </w:pPr>
            <w:r>
              <w:rPr>
                <w:rFonts w:hint="eastAsia" w:ascii="仿宋" w:hAnsi="仿宋" w:eastAsia="仿宋" w:cs="仿宋"/>
                <w:color w:val="auto"/>
                <w:sz w:val="20"/>
                <w:szCs w:val="22"/>
                <w:shd w:val="clear" w:color="auto" w:fill="auto"/>
                <w:vertAlign w:val="baseline"/>
                <w:lang w:eastAsia="zh-CN"/>
              </w:rPr>
              <w:t>项目助理</w:t>
            </w:r>
          </w:p>
        </w:tc>
        <w:tc>
          <w:tcPr>
            <w:tcW w:w="4053"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搜集项目资料，审核项目，撰写报告。</w:t>
            </w:r>
          </w:p>
        </w:tc>
        <w:tc>
          <w:tcPr>
            <w:tcW w:w="1513" w:type="dxa"/>
            <w:noWrap w:val="0"/>
            <w:vAlign w:val="top"/>
          </w:tcPr>
          <w:p>
            <w:pPr>
              <w:keepNext w:val="0"/>
              <w:keepLines w:val="0"/>
              <w:suppressLineNumbers w:val="0"/>
              <w:spacing w:before="0" w:beforeAutospacing="0" w:after="0" w:afterAutospacing="0" w:line="560" w:lineRule="exact"/>
              <w:ind w:left="0" w:right="0" w:firstLine="0" w:firstLineChars="0"/>
              <w:rPr>
                <w:rFonts w:hint="default"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18399621218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kern w:val="2"/>
                <w:sz w:val="20"/>
                <w:szCs w:val="22"/>
                <w:shd w:val="clear" w:color="auto" w:fill="auto"/>
                <w:vertAlign w:val="baseline"/>
                <w:lang w:val="en-US" w:eastAsia="zh-CN" w:bidi="ar-SA"/>
              </w:rPr>
              <w:t>5</w:t>
            </w:r>
          </w:p>
        </w:tc>
        <w:tc>
          <w:tcPr>
            <w:tcW w:w="1086" w:type="dxa"/>
            <w:noWrap w:val="0"/>
            <w:vAlign w:val="top"/>
          </w:tcPr>
          <w:p>
            <w:pPr>
              <w:keepNext w:val="0"/>
              <w:keepLines w:val="0"/>
              <w:suppressLineNumbers w:val="0"/>
              <w:spacing w:before="0" w:beforeAutospacing="0" w:after="0" w:afterAutospacing="0" w:line="560" w:lineRule="exact"/>
              <w:ind w:left="0" w:right="0" w:firstLine="0" w:firstLineChars="0"/>
              <w:jc w:val="center"/>
              <w:rPr>
                <w:rFonts w:hint="eastAsia" w:ascii="仿宋" w:hAnsi="仿宋" w:eastAsia="仿宋" w:cs="仿宋"/>
                <w:color w:val="auto"/>
                <w:kern w:val="2"/>
                <w:sz w:val="20"/>
                <w:szCs w:val="22"/>
                <w:shd w:val="clear" w:color="auto" w:fill="auto"/>
                <w:vertAlign w:val="baseline"/>
                <w:lang w:val="en-US" w:eastAsia="zh-CN" w:bidi="ar-SA"/>
              </w:rPr>
            </w:pPr>
            <w:r>
              <w:rPr>
                <w:rFonts w:hint="eastAsia" w:ascii="仿宋" w:hAnsi="仿宋" w:eastAsia="仿宋" w:cs="仿宋"/>
                <w:color w:val="auto"/>
                <w:sz w:val="20"/>
                <w:szCs w:val="22"/>
                <w:shd w:val="clear" w:color="auto" w:fill="auto"/>
                <w:vertAlign w:val="baseline"/>
                <w:lang w:eastAsia="zh-CN"/>
              </w:rPr>
              <w:t>蒋艳</w:t>
            </w:r>
          </w:p>
        </w:tc>
        <w:tc>
          <w:tcPr>
            <w:tcW w:w="1046"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rPr>
            </w:pPr>
            <w:r>
              <w:rPr>
                <w:rFonts w:hint="eastAsia" w:ascii="仿宋" w:hAnsi="仿宋" w:eastAsia="仿宋" w:cs="仿宋"/>
                <w:color w:val="auto"/>
                <w:sz w:val="20"/>
                <w:szCs w:val="22"/>
                <w:shd w:val="clear" w:color="auto" w:fill="auto"/>
                <w:vertAlign w:val="baseline"/>
                <w:lang w:eastAsia="zh-CN"/>
              </w:rPr>
              <w:t>项目助理</w:t>
            </w:r>
          </w:p>
        </w:tc>
        <w:tc>
          <w:tcPr>
            <w:tcW w:w="4053" w:type="dxa"/>
            <w:noWrap w:val="0"/>
            <w:vAlign w:val="top"/>
          </w:tcPr>
          <w:p>
            <w:pPr>
              <w:keepNext w:val="0"/>
              <w:keepLines w:val="0"/>
              <w:suppressLineNumbers w:val="0"/>
              <w:spacing w:before="0" w:beforeAutospacing="0" w:after="0" w:afterAutospacing="0" w:line="560" w:lineRule="exact"/>
              <w:ind w:left="0" w:right="0" w:firstLine="0" w:firstLineChars="0"/>
              <w:rPr>
                <w:rFonts w:hint="eastAsia" w:ascii="仿宋" w:hAnsi="仿宋" w:eastAsia="仿宋" w:cs="仿宋"/>
                <w:color w:val="auto"/>
                <w:sz w:val="20"/>
                <w:szCs w:val="22"/>
                <w:shd w:val="clear" w:color="auto" w:fill="auto"/>
                <w:vertAlign w:val="baseline"/>
                <w:lang w:eastAsia="zh-CN"/>
              </w:rPr>
            </w:pPr>
            <w:r>
              <w:rPr>
                <w:rFonts w:hint="eastAsia" w:ascii="仿宋" w:hAnsi="仿宋" w:eastAsia="仿宋" w:cs="仿宋"/>
                <w:color w:val="auto"/>
                <w:sz w:val="20"/>
                <w:szCs w:val="22"/>
                <w:shd w:val="clear" w:color="auto" w:fill="auto"/>
                <w:vertAlign w:val="baseline"/>
                <w:lang w:eastAsia="zh-CN"/>
              </w:rPr>
              <w:t>搜集项目资料，审核项目，撰写报告。</w:t>
            </w:r>
          </w:p>
        </w:tc>
        <w:tc>
          <w:tcPr>
            <w:tcW w:w="1513" w:type="dxa"/>
            <w:noWrap w:val="0"/>
            <w:vAlign w:val="top"/>
          </w:tcPr>
          <w:p>
            <w:pPr>
              <w:keepNext w:val="0"/>
              <w:keepLines w:val="0"/>
              <w:suppressLineNumbers w:val="0"/>
              <w:spacing w:before="0" w:beforeAutospacing="0" w:after="0" w:afterAutospacing="0" w:line="560" w:lineRule="exact"/>
              <w:ind w:left="0" w:right="0" w:firstLine="0" w:firstLineChars="0"/>
              <w:rPr>
                <w:rFonts w:hint="default" w:ascii="仿宋" w:hAnsi="仿宋" w:eastAsia="仿宋" w:cs="仿宋"/>
                <w:color w:val="auto"/>
                <w:sz w:val="20"/>
                <w:szCs w:val="22"/>
                <w:shd w:val="clear" w:color="auto" w:fill="auto"/>
                <w:vertAlign w:val="baseline"/>
                <w:lang w:val="en-US" w:eastAsia="zh-CN"/>
              </w:rPr>
            </w:pPr>
            <w:r>
              <w:rPr>
                <w:rFonts w:hint="eastAsia" w:ascii="仿宋" w:hAnsi="仿宋" w:eastAsia="仿宋" w:cs="仿宋"/>
                <w:color w:val="auto"/>
                <w:sz w:val="20"/>
                <w:szCs w:val="22"/>
                <w:shd w:val="clear" w:color="auto" w:fill="auto"/>
                <w:vertAlign w:val="baseline"/>
                <w:lang w:val="en-US" w:eastAsia="zh-CN"/>
              </w:rPr>
              <w:t>18709985377</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42" w:name="_Toc215"/>
      <w:bookmarkStart w:id="243" w:name="_Toc5830"/>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（1）原始资料查阅</w:t>
      </w:r>
      <w:bookmarkEnd w:id="242"/>
      <w:bookmarkEnd w:id="24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44" w:name="_Toc2275"/>
      <w:bookmarkStart w:id="245" w:name="_Toc12466"/>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评价小组在莎车县教育局全力配合协助下，收集项目相关背景资料、项目目标、预算资料、项目执行管理资料、项目资金支付资料，对项目相关信息进行深入分析。根据《项目支出绩效评价管理办法》（财预〔2020〕10号）文件要求，结合项目的特点，梳理绩效评价总体思路，形成项目评价指标体系。</w:t>
      </w:r>
      <w:bookmarkEnd w:id="244"/>
      <w:bookmarkEnd w:id="24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46" w:name="_Toc26443"/>
      <w:bookmarkStart w:id="247" w:name="_Toc31901"/>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（2）确定评价思路和方法</w:t>
      </w:r>
      <w:bookmarkEnd w:id="246"/>
      <w:bookmarkEnd w:id="24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48" w:name="_Toc2904"/>
      <w:bookmarkStart w:id="249" w:name="_Toc11719"/>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按照《项目支出绩效评价管理办法》（财预〔2020〕10号）文件要求，制定项目绩效评价指标体系，主要围绕项目决策、资金投入、过程管理、产出效果和社会效益。通过问卷、访谈等方式获取评价数据，明确工作方法和步骤，制定科学合理的工作计划。</w:t>
      </w:r>
      <w:bookmarkEnd w:id="248"/>
      <w:bookmarkEnd w:id="24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50" w:name="_Toc14566"/>
      <w:bookmarkStart w:id="251" w:name="_Toc30059"/>
      <w:r>
        <w:rPr>
          <w:rFonts w:hint="eastAsia" w:ascii="方正仿宋简体" w:hAnsi="方正仿宋简体" w:eastAsia="方正仿宋简体" w:cs="方正仿宋简体"/>
          <w:color w:val="auto"/>
          <w:sz w:val="32"/>
          <w:szCs w:val="32"/>
          <w:shd w:val="clear" w:color="auto" w:fill="auto"/>
          <w:lang w:val="en-US" w:eastAsia="zh-CN"/>
        </w:rPr>
        <w:t>第二阶段：组织实施。</w:t>
      </w:r>
      <w:bookmarkEnd w:id="250"/>
      <w:bookmarkEnd w:id="25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52" w:name="_Toc19620"/>
      <w:bookmarkStart w:id="253" w:name="_Toc20330"/>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（1）采集评价基础数据及相关资料</w:t>
      </w:r>
      <w:bookmarkEnd w:id="252"/>
      <w:bookmarkEnd w:id="25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54" w:name="_Toc26881"/>
      <w:bookmarkStart w:id="255" w:name="_Toc32316"/>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全面收集项目相关资料和基础数据，完成绩效评价内容和评价指标体系的评价印证资料。整理该项目主要采用查阅相关文件政策、会计凭证等资料，采集项目资金支出情况、项目完成情况及项目成本构成等数据资料；并通过访谈、社会调查掌握具体情况，对采集的数据做详细的分析和统计。</w:t>
      </w:r>
      <w:bookmarkEnd w:id="254"/>
      <w:bookmarkEnd w:id="25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56" w:name="_Toc16029"/>
      <w:bookmarkStart w:id="257" w:name="_Toc5315"/>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（2）实地调研</w:t>
      </w:r>
      <w:bookmarkEnd w:id="256"/>
      <w:bookmarkEnd w:id="25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58" w:name="_Toc14364"/>
      <w:bookmarkStart w:id="259" w:name="_Toc19756"/>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项目评价组根据项目实施过程及指标评价需求判断，针对项目进行实地调研考察，进行实地调研检查项目资金使用情况，重点关注资金使用是否存在截留、挪用财政专项资金的情况；资金支付审批情况是否合规；资金支付所需材料是否齐备；是否存在擅自改变、扩大支出范围的情况；是否存在擅自提高支出标准、虚列项目支出等情况。</w:t>
      </w:r>
      <w:bookmarkEnd w:id="258"/>
      <w:bookmarkEnd w:id="25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60" w:name="_Toc1243"/>
      <w:bookmarkStart w:id="261" w:name="_Toc27050"/>
      <w:r>
        <w:rPr>
          <w:rFonts w:hint="eastAsia" w:ascii="方正仿宋简体" w:hAnsi="方正仿宋简体" w:eastAsia="方正仿宋简体" w:cs="方正仿宋简体"/>
          <w:color w:val="auto"/>
          <w:sz w:val="32"/>
          <w:szCs w:val="32"/>
          <w:shd w:val="clear" w:color="auto" w:fill="auto"/>
          <w:lang w:val="en-US" w:eastAsia="zh-CN"/>
        </w:rPr>
        <w:t>第三阶段：分析评价。</w:t>
      </w:r>
      <w:bookmarkEnd w:id="260"/>
      <w:bookmarkEnd w:id="261"/>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62" w:name="_Toc5093"/>
      <w:bookmarkStart w:id="263" w:name="_Toc31854"/>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一是根据所收集的资料，结合现场勘查等有关情况，整理出绩效评价所需要的基本资料和数据。二是按照确定的评价指标、评价标准和评价方法，对评价对象的绩效情况进行全面的定量定性分析和综合评价，量化评分，形成评价初步结论。</w:t>
      </w:r>
      <w:bookmarkEnd w:id="262"/>
      <w:bookmarkEnd w:id="263"/>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b/>
          <w:bCs/>
          <w:color w:val="auto"/>
          <w:kern w:val="0"/>
          <w:sz w:val="32"/>
          <w:szCs w:val="32"/>
          <w:shd w:val="clear" w:color="auto" w:fill="auto"/>
          <w:lang w:val="en-US" w:eastAsia="zh-CN" w:bidi="en-US"/>
        </w:rPr>
      </w:pPr>
      <w:bookmarkStart w:id="264" w:name="_Toc25457"/>
      <w:bookmarkStart w:id="265" w:name="_Toc8131"/>
      <w:r>
        <w:rPr>
          <w:rFonts w:hint="eastAsia" w:ascii="方正仿宋简体" w:hAnsi="方正仿宋简体" w:eastAsia="方正仿宋简体" w:cs="方正仿宋简体"/>
          <w:b/>
          <w:bCs/>
          <w:color w:val="auto"/>
          <w:kern w:val="0"/>
          <w:sz w:val="32"/>
          <w:szCs w:val="32"/>
          <w:shd w:val="clear" w:color="auto" w:fill="auto"/>
          <w:lang w:val="en-US" w:eastAsia="zh-CN" w:bidi="en-US"/>
        </w:rPr>
        <w:t>第四阶段：撰写报告。</w:t>
      </w:r>
      <w:bookmarkEnd w:id="264"/>
      <w:bookmarkEnd w:id="26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66" w:name="_Toc9673"/>
      <w:bookmarkStart w:id="267" w:name="_Toc10564"/>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归纳总结项目整体情况，分析存在具体问题，剖析问题成因，征求项目实施单位意见，并结合反馈意见，提出解决问题具体举措，并如实撰写绩效评价报告。</w:t>
      </w:r>
      <w:bookmarkEnd w:id="266"/>
      <w:bookmarkEnd w:id="26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b/>
          <w:bCs/>
          <w:color w:val="auto"/>
          <w:kern w:val="0"/>
          <w:sz w:val="32"/>
          <w:szCs w:val="32"/>
          <w:shd w:val="clear" w:color="auto" w:fill="auto"/>
          <w:lang w:val="en-US" w:eastAsia="zh-CN" w:bidi="en-US"/>
        </w:rPr>
      </w:pPr>
      <w:bookmarkStart w:id="268" w:name="_Toc7385"/>
      <w:bookmarkStart w:id="269" w:name="_Toc22805"/>
      <w:r>
        <w:rPr>
          <w:rFonts w:hint="eastAsia" w:ascii="方正仿宋简体" w:hAnsi="方正仿宋简体" w:eastAsia="方正仿宋简体" w:cs="方正仿宋简体"/>
          <w:b/>
          <w:bCs/>
          <w:color w:val="auto"/>
          <w:kern w:val="0"/>
          <w:sz w:val="32"/>
          <w:szCs w:val="32"/>
          <w:shd w:val="clear" w:color="auto" w:fill="auto"/>
          <w:lang w:val="en-US" w:eastAsia="zh-CN" w:bidi="en-US"/>
        </w:rPr>
        <w:t>第五阶段：会审完善。</w:t>
      </w:r>
      <w:bookmarkEnd w:id="268"/>
      <w:bookmarkEnd w:id="269"/>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70" w:name="_Toc2975"/>
      <w:bookmarkStart w:id="271" w:name="_Toc28365"/>
      <w:bookmarkStart w:id="272" w:name="OLE_LINK1"/>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由财政部门代表、第三方机构代表、人大代表、绩效评价专家及被评价行业专家组成评价专家组，对绩效报告真实性、合规性进行联合会审，提出修正完善意见，</w:t>
      </w:r>
      <w:bookmarkStart w:id="273" w:name="OLE_LINK2"/>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绩效评价机构</w:t>
      </w:r>
      <w:bookmarkEnd w:id="273"/>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根据会审意见，修正完善绩效评价报告。</w:t>
      </w:r>
      <w:bookmarkEnd w:id="270"/>
      <w:bookmarkEnd w:id="271"/>
      <w:bookmarkEnd w:id="272"/>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b/>
          <w:bCs/>
          <w:color w:val="auto"/>
          <w:kern w:val="0"/>
          <w:sz w:val="32"/>
          <w:szCs w:val="32"/>
          <w:shd w:val="clear" w:color="auto" w:fill="auto"/>
          <w:lang w:val="en-US" w:eastAsia="zh-CN" w:bidi="en-US"/>
        </w:rPr>
      </w:pPr>
      <w:bookmarkStart w:id="274" w:name="_Toc22702"/>
      <w:bookmarkStart w:id="275" w:name="_Toc24514"/>
      <w:r>
        <w:rPr>
          <w:rFonts w:hint="eastAsia" w:ascii="方正仿宋简体" w:hAnsi="方正仿宋简体" w:eastAsia="方正仿宋简体" w:cs="方正仿宋简体"/>
          <w:b/>
          <w:bCs/>
          <w:color w:val="auto"/>
          <w:kern w:val="0"/>
          <w:sz w:val="32"/>
          <w:szCs w:val="32"/>
          <w:shd w:val="clear" w:color="auto" w:fill="auto"/>
          <w:lang w:val="en-US" w:eastAsia="zh-CN" w:bidi="en-US"/>
        </w:rPr>
        <w:t>第六阶段：归集档案。</w:t>
      </w:r>
      <w:bookmarkEnd w:id="274"/>
      <w:bookmarkEnd w:id="275"/>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pPr>
      <w:bookmarkStart w:id="276" w:name="_Toc29625"/>
      <w:bookmarkStart w:id="277" w:name="_Toc909"/>
      <w:r>
        <w:rPr>
          <w:rFonts w:hint="eastAsia" w:ascii="方正仿宋_GBK" w:hAnsi="方正仿宋_GBK" w:eastAsia="方正仿宋_GBK" w:cs="方正仿宋_GBK"/>
          <w:b w:val="0"/>
          <w:bCs w:val="0"/>
          <w:color w:val="auto"/>
          <w:kern w:val="2"/>
          <w:sz w:val="32"/>
          <w:szCs w:val="32"/>
          <w:highlight w:val="none"/>
          <w:shd w:val="clear" w:color="auto" w:fill="auto"/>
          <w:lang w:val="en-US" w:eastAsia="zh-CN" w:bidi="zh-CN"/>
        </w:rPr>
        <w:t>将项目相关资料按照一项目一存档的原则进行分类存档，包括但不限于：评价项目基本情况、项目管理文件和其他相关文件、项目绩效评价实施方案、项目支付资料及项目资产账目等相关档案。</w:t>
      </w:r>
      <w:bookmarkEnd w:id="276"/>
      <w:bookmarkEnd w:id="27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rPr>
          <w:rFonts w:hint="eastAsia" w:ascii="方正黑体_GBK" w:hAnsi="方正黑体_GBK" w:eastAsia="方正黑体_GBK" w:cs="方正黑体_GBK"/>
          <w:b w:val="0"/>
          <w:bCs/>
          <w:color w:val="auto"/>
          <w:sz w:val="32"/>
          <w:szCs w:val="32"/>
          <w:shd w:val="clear" w:color="auto" w:fill="auto"/>
          <w:lang w:val="en-US" w:eastAsia="zh-CN"/>
        </w:rPr>
      </w:pPr>
      <w:bookmarkStart w:id="278" w:name="_Toc29247"/>
      <w:r>
        <w:rPr>
          <w:rFonts w:hint="eastAsia" w:ascii="方正黑体_GBK" w:hAnsi="方正黑体_GBK" w:eastAsia="方正黑体_GBK" w:cs="方正黑体_GBK"/>
          <w:b w:val="0"/>
          <w:bCs/>
          <w:color w:val="auto"/>
          <w:sz w:val="32"/>
          <w:szCs w:val="32"/>
          <w:shd w:val="clear" w:color="auto" w:fill="auto"/>
          <w:lang w:val="en-US" w:eastAsia="zh-CN"/>
        </w:rPr>
        <w:t>三、综合评价情况及评价结论</w:t>
      </w:r>
      <w:bookmarkEnd w:id="278"/>
    </w:p>
    <w:bookmarkEnd w:id="226"/>
    <w:bookmarkEnd w:id="227"/>
    <w:bookmarkEnd w:id="228"/>
    <w:bookmarkEnd w:id="229"/>
    <w:bookmarkEnd w:id="230"/>
    <w:p>
      <w:pPr>
        <w:pStyle w:val="31"/>
        <w:keepNext w:val="0"/>
        <w:keepLines w:val="0"/>
        <w:pageBreakBefore w:val="0"/>
        <w:widowControl w:val="0"/>
        <w:numPr>
          <w:ilvl w:val="0"/>
          <w:numId w:val="0"/>
        </w:numPr>
        <w:kinsoku/>
        <w:wordWrap/>
        <w:overflowPunct/>
        <w:topLinePunct w:val="0"/>
        <w:autoSpaceDE/>
        <w:autoSpaceDN/>
        <w:bidi w:val="0"/>
        <w:adjustRightInd/>
        <w:snapToGrid w:val="0"/>
        <w:spacing w:before="120" w:line="560" w:lineRule="exact"/>
        <w:ind w:leftChars="201" w:right="3" w:rightChars="1"/>
        <w:textAlignment w:val="auto"/>
        <w:outlineLvl w:val="1"/>
        <w:rPr>
          <w:rFonts w:hint="eastAsia" w:ascii="方正楷体_GBK" w:hAnsi="方正楷体_GBK" w:eastAsia="方正楷体_GBK" w:cs="方正楷体_GBK"/>
          <w:b/>
          <w:bCs w:val="0"/>
          <w:color w:val="auto"/>
          <w:sz w:val="32"/>
          <w:szCs w:val="32"/>
          <w:shd w:val="clear" w:color="auto" w:fill="auto"/>
        </w:rPr>
      </w:pPr>
      <w:bookmarkStart w:id="279" w:name="_Toc10216"/>
      <w:bookmarkStart w:id="280" w:name="_Toc107396742"/>
      <w:r>
        <w:rPr>
          <w:rFonts w:hint="eastAsia" w:ascii="方正楷体_GBK" w:hAnsi="方正楷体_GBK" w:eastAsia="方正楷体_GBK" w:cs="方正楷体_GBK"/>
          <w:b/>
          <w:bCs w:val="0"/>
          <w:color w:val="auto"/>
          <w:sz w:val="32"/>
          <w:szCs w:val="32"/>
          <w:shd w:val="clear" w:color="auto" w:fill="auto"/>
          <w:lang w:eastAsia="zh-CN"/>
        </w:rPr>
        <w:t>（一）</w:t>
      </w:r>
      <w:r>
        <w:rPr>
          <w:rFonts w:hint="eastAsia" w:ascii="方正楷体_GBK" w:hAnsi="方正楷体_GBK" w:eastAsia="方正楷体_GBK" w:cs="方正楷体_GBK"/>
          <w:b/>
          <w:bCs w:val="0"/>
          <w:color w:val="auto"/>
          <w:sz w:val="32"/>
          <w:szCs w:val="32"/>
          <w:shd w:val="clear" w:color="auto" w:fill="auto"/>
        </w:rPr>
        <w:t>综合评价情况</w:t>
      </w:r>
      <w:bookmarkEnd w:id="279"/>
      <w:bookmarkEnd w:id="280"/>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lang w:val="en-US" w:eastAsia="zh-CN"/>
        </w:rPr>
      </w:pPr>
      <w:r>
        <w:rPr>
          <w:rFonts w:hint="eastAsia" w:ascii="方正仿宋_GBK" w:hAnsi="方正仿宋_GBK" w:eastAsia="方正仿宋_GBK" w:cs="方正仿宋_GBK"/>
          <w:color w:val="auto"/>
          <w:sz w:val="32"/>
          <w:szCs w:val="32"/>
          <w:shd w:val="clear" w:color="auto" w:fill="auto"/>
        </w:rPr>
        <w:t>项目决策方面：</w:t>
      </w:r>
      <w:r>
        <w:rPr>
          <w:rFonts w:hint="eastAsia" w:ascii="方正仿宋_GBK" w:hAnsi="方正仿宋_GBK" w:eastAsia="方正仿宋_GBK" w:cs="方正仿宋_GBK"/>
          <w:color w:val="auto"/>
          <w:sz w:val="32"/>
          <w:szCs w:val="32"/>
          <w:shd w:val="clear" w:color="auto" w:fill="auto"/>
          <w:lang w:eastAsia="zh-CN"/>
        </w:rPr>
        <w:t>本项目按照《自治区对口援疆项目管理（暂行）办法》（新援疆办〔20</w:t>
      </w:r>
      <w:r>
        <w:rPr>
          <w:rFonts w:hint="eastAsia" w:ascii="方正仿宋_GBK" w:hAnsi="方正仿宋_GBK" w:eastAsia="方正仿宋_GBK" w:cs="方正仿宋_GBK"/>
          <w:color w:val="auto"/>
          <w:sz w:val="32"/>
          <w:szCs w:val="32"/>
          <w:shd w:val="clear" w:color="auto" w:fill="auto"/>
          <w:lang w:val="en-US" w:eastAsia="zh-CN"/>
        </w:rPr>
        <w:t>13</w:t>
      </w:r>
      <w:r>
        <w:rPr>
          <w:rFonts w:hint="eastAsia" w:ascii="方正仿宋_GBK" w:hAnsi="方正仿宋_GBK" w:eastAsia="方正仿宋_GBK" w:cs="方正仿宋_GBK"/>
          <w:color w:val="auto"/>
          <w:sz w:val="32"/>
          <w:szCs w:val="32"/>
          <w:shd w:val="clear" w:color="auto" w:fill="auto"/>
          <w:lang w:eastAsia="zh-CN"/>
        </w:rPr>
        <w:t>〕</w:t>
      </w:r>
      <w:r>
        <w:rPr>
          <w:rFonts w:hint="eastAsia" w:ascii="方正仿宋_GBK" w:hAnsi="方正仿宋_GBK" w:eastAsia="方正仿宋_GBK" w:cs="方正仿宋_GBK"/>
          <w:color w:val="auto"/>
          <w:sz w:val="32"/>
          <w:szCs w:val="32"/>
          <w:shd w:val="clear" w:color="auto" w:fill="auto"/>
          <w:lang w:val="en-US" w:eastAsia="zh-CN"/>
        </w:rPr>
        <w:t>12</w:t>
      </w:r>
      <w:r>
        <w:rPr>
          <w:rFonts w:hint="eastAsia" w:ascii="方正仿宋_GBK" w:hAnsi="方正仿宋_GBK" w:eastAsia="方正仿宋_GBK" w:cs="方正仿宋_GBK"/>
          <w:color w:val="auto"/>
          <w:sz w:val="32"/>
          <w:szCs w:val="32"/>
          <w:shd w:val="clear" w:color="auto" w:fill="auto"/>
          <w:lang w:eastAsia="zh-CN"/>
        </w:rPr>
        <w:t>号）、《上海市援疆项目管理暂行办法》（沪指文〔20</w:t>
      </w:r>
      <w:r>
        <w:rPr>
          <w:rFonts w:hint="eastAsia" w:ascii="方正仿宋_GBK" w:hAnsi="方正仿宋_GBK" w:eastAsia="方正仿宋_GBK" w:cs="方正仿宋_GBK"/>
          <w:color w:val="auto"/>
          <w:sz w:val="32"/>
          <w:szCs w:val="32"/>
          <w:shd w:val="clear" w:color="auto" w:fill="auto"/>
          <w:lang w:val="en-US" w:eastAsia="zh-CN"/>
        </w:rPr>
        <w:t>14</w:t>
      </w:r>
      <w:r>
        <w:rPr>
          <w:rFonts w:hint="eastAsia" w:ascii="方正仿宋_GBK" w:hAnsi="方正仿宋_GBK" w:eastAsia="方正仿宋_GBK" w:cs="方正仿宋_GBK"/>
          <w:color w:val="auto"/>
          <w:sz w:val="32"/>
          <w:szCs w:val="32"/>
          <w:shd w:val="clear" w:color="auto" w:fill="auto"/>
          <w:lang w:eastAsia="zh-CN"/>
        </w:rPr>
        <w:t>〕</w:t>
      </w:r>
      <w:r>
        <w:rPr>
          <w:rFonts w:hint="eastAsia" w:ascii="方正仿宋_GBK" w:hAnsi="方正仿宋_GBK" w:eastAsia="方正仿宋_GBK" w:cs="方正仿宋_GBK"/>
          <w:color w:val="auto"/>
          <w:sz w:val="32"/>
          <w:szCs w:val="32"/>
          <w:shd w:val="clear" w:color="auto" w:fill="auto"/>
          <w:lang w:val="en-US" w:eastAsia="zh-CN"/>
        </w:rPr>
        <w:t>41</w:t>
      </w:r>
      <w:r>
        <w:rPr>
          <w:rFonts w:hint="eastAsia" w:ascii="方正仿宋_GBK" w:hAnsi="方正仿宋_GBK" w:eastAsia="方正仿宋_GBK" w:cs="方正仿宋_GBK"/>
          <w:color w:val="auto"/>
          <w:sz w:val="32"/>
          <w:szCs w:val="32"/>
          <w:shd w:val="clear" w:color="auto" w:fill="auto"/>
          <w:lang w:eastAsia="zh-CN"/>
        </w:rPr>
        <w:t>号）、《莎车县基础教育设施设备提升（“优分优育”计划）项目实施方案的批复》（莎发改〔2025〕320号）立项，立项依据充分、程序规范；项目预算编制与“搭建智慧校园平台、引入数字化教育服务、开展教师培训”等项目内容高度匹配，资金测算依据完善，论证充分，为项目实施奠定了良好基础。</w:t>
      </w:r>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lang w:val="en-US" w:eastAsia="zh-CN"/>
        </w:rPr>
      </w:pPr>
      <w:r>
        <w:rPr>
          <w:rFonts w:hint="eastAsia" w:ascii="方正仿宋_GBK" w:hAnsi="方正仿宋_GBK" w:eastAsia="方正仿宋_GBK" w:cs="方正仿宋_GBK"/>
          <w:color w:val="auto"/>
          <w:sz w:val="32"/>
          <w:szCs w:val="32"/>
          <w:shd w:val="clear" w:color="auto" w:fill="auto"/>
        </w:rPr>
        <w:t>项目管理方面：该项目预算安排资金</w:t>
      </w:r>
      <w:r>
        <w:rPr>
          <w:rFonts w:hint="eastAsia" w:ascii="方正仿宋_GBK" w:hAnsi="方正仿宋_GBK" w:eastAsia="方正仿宋_GBK" w:cs="方正仿宋_GBK"/>
          <w:color w:val="auto"/>
          <w:sz w:val="32"/>
          <w:szCs w:val="32"/>
          <w:shd w:val="clear" w:color="auto" w:fill="auto"/>
          <w:lang w:val="en-US" w:eastAsia="zh-CN"/>
        </w:rPr>
        <w:t>150</w:t>
      </w:r>
      <w:r>
        <w:rPr>
          <w:rFonts w:hint="eastAsia" w:ascii="方正仿宋_GBK" w:hAnsi="方正仿宋_GBK" w:eastAsia="方正仿宋_GBK" w:cs="方正仿宋_GBK"/>
          <w:color w:val="auto"/>
          <w:sz w:val="32"/>
          <w:szCs w:val="32"/>
          <w:shd w:val="clear" w:color="auto" w:fill="auto"/>
        </w:rPr>
        <w:t>万元，实际支出</w:t>
      </w:r>
      <w:r>
        <w:rPr>
          <w:rFonts w:hint="eastAsia" w:ascii="方正仿宋_GBK" w:hAnsi="方正仿宋_GBK" w:eastAsia="方正仿宋_GBK" w:cs="方正仿宋_GBK"/>
          <w:color w:val="auto"/>
          <w:sz w:val="32"/>
          <w:szCs w:val="32"/>
          <w:shd w:val="clear" w:color="auto" w:fill="auto"/>
          <w:lang w:val="en-US" w:eastAsia="zh-CN"/>
        </w:rPr>
        <w:t>149.59</w:t>
      </w:r>
      <w:r>
        <w:rPr>
          <w:rFonts w:hint="eastAsia" w:ascii="方正仿宋_GBK" w:hAnsi="方正仿宋_GBK" w:eastAsia="方正仿宋_GBK" w:cs="方正仿宋_GBK"/>
          <w:color w:val="auto"/>
          <w:sz w:val="32"/>
          <w:szCs w:val="32"/>
          <w:shd w:val="clear" w:color="auto" w:fill="auto"/>
        </w:rPr>
        <w:t>万元。预算执行率</w:t>
      </w:r>
      <w:r>
        <w:rPr>
          <w:rFonts w:hint="eastAsia" w:ascii="方正仿宋_GBK" w:hAnsi="方正仿宋_GBK" w:eastAsia="方正仿宋_GBK" w:cs="方正仿宋_GBK"/>
          <w:color w:val="auto"/>
          <w:sz w:val="32"/>
          <w:szCs w:val="32"/>
          <w:shd w:val="clear" w:color="auto" w:fill="auto"/>
          <w:lang w:val="en-US" w:eastAsia="zh-CN"/>
        </w:rPr>
        <w:t>99.73%</w:t>
      </w:r>
      <w:r>
        <w:rPr>
          <w:rFonts w:hint="eastAsia" w:ascii="方正仿宋_GBK" w:hAnsi="方正仿宋_GBK" w:eastAsia="方正仿宋_GBK" w:cs="方正仿宋_GBK"/>
          <w:color w:val="auto"/>
          <w:sz w:val="32"/>
          <w:szCs w:val="32"/>
          <w:shd w:val="clear" w:color="auto" w:fill="auto"/>
        </w:rPr>
        <w:t>。</w:t>
      </w:r>
      <w:r>
        <w:rPr>
          <w:rFonts w:hint="eastAsia" w:ascii="方正仿宋_GBK" w:hAnsi="方正仿宋_GBK" w:eastAsia="方正仿宋_GBK" w:cs="方正仿宋_GBK"/>
          <w:color w:val="auto"/>
          <w:sz w:val="32"/>
          <w:szCs w:val="32"/>
          <w:shd w:val="clear" w:color="auto" w:fill="auto"/>
          <w:lang w:eastAsia="zh-CN"/>
        </w:rPr>
        <w:t>按照《上海市对口支援新疆资金管理办法的通知》（沪财行〔20</w:t>
      </w:r>
      <w:r>
        <w:rPr>
          <w:rFonts w:hint="eastAsia" w:ascii="方正仿宋_GBK" w:hAnsi="方正仿宋_GBK" w:eastAsia="方正仿宋_GBK" w:cs="方正仿宋_GBK"/>
          <w:color w:val="auto"/>
          <w:sz w:val="32"/>
          <w:szCs w:val="32"/>
          <w:shd w:val="clear" w:color="auto" w:fill="auto"/>
          <w:lang w:val="en-US" w:eastAsia="zh-CN"/>
        </w:rPr>
        <w:t>11</w:t>
      </w:r>
      <w:r>
        <w:rPr>
          <w:rFonts w:hint="eastAsia" w:ascii="方正仿宋_GBK" w:hAnsi="方正仿宋_GBK" w:eastAsia="方正仿宋_GBK" w:cs="方正仿宋_GBK"/>
          <w:color w:val="auto"/>
          <w:sz w:val="32"/>
          <w:szCs w:val="32"/>
          <w:shd w:val="clear" w:color="auto" w:fill="auto"/>
          <w:lang w:eastAsia="zh-CN"/>
        </w:rPr>
        <w:t>〕</w:t>
      </w:r>
      <w:r>
        <w:rPr>
          <w:rFonts w:hint="eastAsia" w:ascii="方正仿宋_GBK" w:hAnsi="方正仿宋_GBK" w:eastAsia="方正仿宋_GBK" w:cs="方正仿宋_GBK"/>
          <w:color w:val="auto"/>
          <w:sz w:val="32"/>
          <w:szCs w:val="32"/>
          <w:shd w:val="clear" w:color="auto" w:fill="auto"/>
          <w:lang w:val="en-US" w:eastAsia="zh-CN"/>
        </w:rPr>
        <w:t>7</w:t>
      </w:r>
      <w:r>
        <w:rPr>
          <w:rFonts w:hint="eastAsia" w:ascii="方正仿宋_GBK" w:hAnsi="方正仿宋_GBK" w:eastAsia="方正仿宋_GBK" w:cs="方正仿宋_GBK"/>
          <w:color w:val="auto"/>
          <w:sz w:val="32"/>
          <w:szCs w:val="32"/>
          <w:shd w:val="clear" w:color="auto" w:fill="auto"/>
          <w:lang w:eastAsia="zh-CN"/>
        </w:rPr>
        <w:t>号）和《上海市对口支援新疆维吾尔自治区喀什地区项目资金管理办法》（沪府合办发〔20</w:t>
      </w:r>
      <w:r>
        <w:rPr>
          <w:rFonts w:hint="eastAsia" w:ascii="方正仿宋_GBK" w:hAnsi="方正仿宋_GBK" w:eastAsia="方正仿宋_GBK" w:cs="方正仿宋_GBK"/>
          <w:color w:val="auto"/>
          <w:sz w:val="32"/>
          <w:szCs w:val="32"/>
          <w:shd w:val="clear" w:color="auto" w:fill="auto"/>
          <w:lang w:val="en-US" w:eastAsia="zh-CN"/>
        </w:rPr>
        <w:t>22</w:t>
      </w:r>
      <w:r>
        <w:rPr>
          <w:rFonts w:hint="eastAsia" w:ascii="方正仿宋_GBK" w:hAnsi="方正仿宋_GBK" w:eastAsia="方正仿宋_GBK" w:cs="方正仿宋_GBK"/>
          <w:color w:val="auto"/>
          <w:sz w:val="32"/>
          <w:szCs w:val="32"/>
          <w:shd w:val="clear" w:color="auto" w:fill="auto"/>
          <w:lang w:eastAsia="zh-CN"/>
        </w:rPr>
        <w:t>〕</w:t>
      </w:r>
      <w:r>
        <w:rPr>
          <w:rFonts w:hint="eastAsia" w:ascii="方正仿宋_GBK" w:hAnsi="方正仿宋_GBK" w:eastAsia="方正仿宋_GBK" w:cs="方正仿宋_GBK"/>
          <w:color w:val="auto"/>
          <w:sz w:val="32"/>
          <w:szCs w:val="32"/>
          <w:shd w:val="clear" w:color="auto" w:fill="auto"/>
          <w:lang w:val="en-US" w:eastAsia="zh-CN"/>
        </w:rPr>
        <w:t>6</w:t>
      </w:r>
      <w:r>
        <w:rPr>
          <w:rFonts w:hint="eastAsia" w:ascii="方正仿宋_GBK" w:hAnsi="方正仿宋_GBK" w:eastAsia="方正仿宋_GBK" w:cs="方正仿宋_GBK"/>
          <w:color w:val="auto"/>
          <w:sz w:val="32"/>
          <w:szCs w:val="32"/>
          <w:shd w:val="clear" w:color="auto" w:fill="auto"/>
          <w:lang w:eastAsia="zh-CN"/>
        </w:rPr>
        <w:t>号）文件执行，项目资金使用合规，财务管理制度健全，财务监控到位，所有资金支付均按照国库集中支付制度严格执行。项目实施中，各部门分工明确、协同推进，未出现资金使用违规或管理混乱问题。</w:t>
      </w:r>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lang w:eastAsia="zh-CN"/>
        </w:rPr>
      </w:pPr>
      <w:r>
        <w:rPr>
          <w:rFonts w:hint="eastAsia" w:ascii="方正仿宋_GBK" w:hAnsi="方正仿宋_GBK" w:eastAsia="方正仿宋_GBK" w:cs="方正仿宋_GBK"/>
          <w:color w:val="auto"/>
          <w:sz w:val="32"/>
          <w:szCs w:val="32"/>
          <w:shd w:val="clear" w:color="auto" w:fill="auto"/>
        </w:rPr>
        <w:t>项目产出方面：</w:t>
      </w:r>
      <w:r>
        <w:rPr>
          <w:rFonts w:hint="eastAsia" w:ascii="方正仿宋_GBK" w:hAnsi="方正仿宋_GBK" w:eastAsia="方正仿宋_GBK" w:cs="方正仿宋_GBK"/>
          <w:color w:val="auto"/>
          <w:sz w:val="32"/>
          <w:szCs w:val="32"/>
          <w:shd w:val="clear" w:color="auto" w:fill="auto"/>
          <w:lang w:eastAsia="zh-CN"/>
        </w:rPr>
        <w:t>截至2025年12月31日，总计付款149.59万元，通过应用数字智能考阅系统，涵盖8所学校，引入智慧教育软件服务系统</w:t>
      </w:r>
      <w:r>
        <w:rPr>
          <w:rFonts w:hint="eastAsia" w:ascii="方正仿宋_GBK" w:hAnsi="方正仿宋_GBK" w:eastAsia="方正仿宋_GBK" w:cs="方正仿宋_GBK"/>
          <w:color w:val="auto"/>
          <w:sz w:val="32"/>
          <w:szCs w:val="32"/>
          <w:shd w:val="clear" w:color="auto" w:fill="auto"/>
          <w:lang w:val="en-US" w:eastAsia="zh-CN"/>
        </w:rPr>
        <w:t>一套</w:t>
      </w:r>
      <w:r>
        <w:rPr>
          <w:rFonts w:hint="eastAsia" w:ascii="方正仿宋_GBK" w:hAnsi="方正仿宋_GBK" w:eastAsia="方正仿宋_GBK" w:cs="方正仿宋_GBK"/>
          <w:color w:val="auto"/>
          <w:sz w:val="32"/>
          <w:szCs w:val="32"/>
          <w:shd w:val="clear" w:color="auto" w:fill="auto"/>
          <w:lang w:eastAsia="zh-CN"/>
        </w:rPr>
        <w:t>，智慧教育软件应用率达到了100%，提升学校教学质量。</w:t>
      </w:r>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lang w:val="en-US" w:eastAsia="zh-CN"/>
        </w:rPr>
      </w:pPr>
      <w:r>
        <w:rPr>
          <w:rFonts w:hint="eastAsia" w:ascii="方正仿宋_GBK" w:hAnsi="方正仿宋_GBK" w:eastAsia="方正仿宋_GBK" w:cs="方正仿宋_GBK"/>
          <w:color w:val="auto"/>
          <w:sz w:val="32"/>
          <w:szCs w:val="32"/>
          <w:shd w:val="clear" w:color="auto" w:fill="auto"/>
        </w:rPr>
        <w:t>项目效益方面：</w:t>
      </w:r>
      <w:r>
        <w:rPr>
          <w:rFonts w:hint="eastAsia" w:ascii="方正仿宋_GBK" w:hAnsi="方正仿宋_GBK" w:eastAsia="方正仿宋_GBK" w:cs="方正仿宋_GBK"/>
          <w:color w:val="auto"/>
          <w:sz w:val="32"/>
          <w:szCs w:val="32"/>
          <w:shd w:val="clear" w:color="auto" w:fill="auto"/>
          <w:lang w:eastAsia="zh-CN"/>
        </w:rPr>
        <w:t>莎车县基础教育数字化教学支撑体系得到完善，教师教学能力与数字化教学应用水平显著提升，优质教学资源覆盖面扩大，有效促进了教育公平与素质教育发展，助力提升区域基础教育教学质量，师生对项目教学服务的满意度已达到</w:t>
      </w:r>
      <w:r>
        <w:rPr>
          <w:rFonts w:hint="eastAsia" w:ascii="方正仿宋_GBK" w:hAnsi="方正仿宋_GBK" w:eastAsia="方正仿宋_GBK" w:cs="方正仿宋_GBK"/>
          <w:color w:val="auto"/>
          <w:sz w:val="32"/>
          <w:szCs w:val="32"/>
          <w:shd w:val="clear" w:color="auto" w:fill="auto"/>
          <w:lang w:val="en-US" w:eastAsia="zh-CN"/>
        </w:rPr>
        <w:t>95%，项目达到了预期的援建效益目标。</w:t>
      </w:r>
    </w:p>
    <w:p>
      <w:pPr>
        <w:pStyle w:val="31"/>
        <w:keepNext w:val="0"/>
        <w:keepLines w:val="0"/>
        <w:pageBreakBefore w:val="0"/>
        <w:widowControl w:val="0"/>
        <w:numPr>
          <w:ilvl w:val="0"/>
          <w:numId w:val="0"/>
        </w:numPr>
        <w:kinsoku/>
        <w:wordWrap/>
        <w:overflowPunct/>
        <w:topLinePunct w:val="0"/>
        <w:autoSpaceDE/>
        <w:autoSpaceDN/>
        <w:bidi w:val="0"/>
        <w:adjustRightInd/>
        <w:snapToGrid w:val="0"/>
        <w:spacing w:before="120" w:line="560" w:lineRule="exact"/>
        <w:ind w:leftChars="201" w:right="3" w:rightChars="1"/>
        <w:textAlignment w:val="auto"/>
        <w:outlineLvl w:val="1"/>
        <w:rPr>
          <w:rFonts w:hint="eastAsia" w:ascii="方正楷体_GBK" w:hAnsi="方正楷体_GBK" w:eastAsia="方正楷体_GBK" w:cs="方正楷体_GBK"/>
          <w:b/>
          <w:bCs w:val="0"/>
          <w:color w:val="auto"/>
          <w:sz w:val="32"/>
          <w:szCs w:val="32"/>
          <w:shd w:val="clear" w:color="auto" w:fill="auto"/>
          <w:lang w:eastAsia="zh-CN"/>
        </w:rPr>
      </w:pPr>
      <w:bookmarkStart w:id="281" w:name="_Toc107396743"/>
      <w:bookmarkStart w:id="282" w:name="_Toc21150"/>
      <w:r>
        <w:rPr>
          <w:rFonts w:hint="eastAsia" w:ascii="方正楷体_GBK" w:hAnsi="方正楷体_GBK" w:eastAsia="方正楷体_GBK" w:cs="方正楷体_GBK"/>
          <w:b/>
          <w:bCs w:val="0"/>
          <w:color w:val="auto"/>
          <w:sz w:val="32"/>
          <w:szCs w:val="32"/>
          <w:shd w:val="clear" w:color="auto" w:fill="auto"/>
          <w:lang w:eastAsia="zh-CN"/>
        </w:rPr>
        <w:t>（二）综合评价结论</w:t>
      </w:r>
      <w:bookmarkEnd w:id="281"/>
      <w:bookmarkEnd w:id="282"/>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rPr>
      </w:pPr>
      <w:r>
        <w:rPr>
          <w:rFonts w:hint="eastAsia" w:ascii="方正仿宋_GBK" w:hAnsi="方正仿宋_GBK" w:eastAsia="方正仿宋_GBK" w:cs="方正仿宋_GBK"/>
          <w:color w:val="auto"/>
          <w:sz w:val="32"/>
          <w:szCs w:val="32"/>
          <w:shd w:val="clear" w:color="auto" w:fill="auto"/>
        </w:rPr>
        <w:t>依据</w:t>
      </w:r>
      <w:r>
        <w:rPr>
          <w:rFonts w:hint="eastAsia" w:ascii="方正仿宋_GBK" w:hAnsi="方正仿宋_GBK" w:eastAsia="方正仿宋_GBK" w:cs="方正仿宋_GBK"/>
          <w:color w:val="auto"/>
          <w:sz w:val="32"/>
          <w:szCs w:val="32"/>
          <w:shd w:val="clear" w:color="auto" w:fill="auto"/>
          <w:lang w:eastAsia="zh-CN"/>
        </w:rPr>
        <w:t>《中共中央国务院</w:t>
      </w:r>
      <w:r>
        <w:rPr>
          <w:rFonts w:hint="eastAsia" w:ascii="方正仿宋_GBK" w:hAnsi="方正仿宋_GBK" w:eastAsia="方正仿宋_GBK" w:cs="方正仿宋_GBK"/>
          <w:color w:val="auto"/>
          <w:sz w:val="32"/>
          <w:szCs w:val="32"/>
          <w:shd w:val="clear" w:color="auto" w:fill="auto"/>
        </w:rPr>
        <w:t>关于全面实施预算绩效管理的意见》及《项目支出绩效评价管理办法》（财预〔2020〕10号）文件，绩效评价总分设置为100分，划分为四档：90（含）-100分为优、80（含）-90分为良、</w:t>
      </w:r>
      <w:r>
        <w:rPr>
          <w:rFonts w:hint="eastAsia" w:ascii="方正仿宋_GBK" w:hAnsi="方正仿宋_GBK" w:eastAsia="方正仿宋_GBK" w:cs="方正仿宋_GBK"/>
          <w:color w:val="auto"/>
          <w:sz w:val="32"/>
          <w:szCs w:val="32"/>
          <w:shd w:val="clear" w:color="auto" w:fill="auto"/>
          <w:lang w:val="en-US" w:eastAsia="zh-CN"/>
        </w:rPr>
        <w:t>7</w:t>
      </w:r>
      <w:r>
        <w:rPr>
          <w:rFonts w:hint="eastAsia" w:ascii="方正仿宋_GBK" w:hAnsi="方正仿宋_GBK" w:eastAsia="方正仿宋_GBK" w:cs="方正仿宋_GBK"/>
          <w:color w:val="auto"/>
          <w:sz w:val="32"/>
          <w:szCs w:val="32"/>
          <w:shd w:val="clear" w:color="auto" w:fill="auto"/>
        </w:rPr>
        <w:t>0（含）-80分为中、</w:t>
      </w:r>
      <w:r>
        <w:rPr>
          <w:rFonts w:hint="eastAsia" w:ascii="方正仿宋_GBK" w:hAnsi="方正仿宋_GBK" w:eastAsia="方正仿宋_GBK" w:cs="方正仿宋_GBK"/>
          <w:color w:val="auto"/>
          <w:sz w:val="32"/>
          <w:szCs w:val="32"/>
          <w:shd w:val="clear" w:color="auto" w:fill="auto"/>
          <w:lang w:val="en-US" w:eastAsia="zh-CN"/>
        </w:rPr>
        <w:t>7</w:t>
      </w:r>
      <w:r>
        <w:rPr>
          <w:rFonts w:hint="eastAsia" w:ascii="方正仿宋_GBK" w:hAnsi="方正仿宋_GBK" w:eastAsia="方正仿宋_GBK" w:cs="方正仿宋_GBK"/>
          <w:color w:val="auto"/>
          <w:sz w:val="32"/>
          <w:szCs w:val="32"/>
          <w:shd w:val="clear" w:color="auto" w:fill="auto"/>
        </w:rPr>
        <w:t>0分以下为差。</w:t>
      </w:r>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textAlignment w:val="auto"/>
        <w:rPr>
          <w:rFonts w:hint="eastAsia" w:ascii="方正仿宋_GBK" w:hAnsi="方正仿宋_GBK" w:eastAsia="方正仿宋_GBK" w:cs="方正仿宋_GBK"/>
          <w:color w:val="auto"/>
          <w:sz w:val="32"/>
          <w:szCs w:val="32"/>
          <w:shd w:val="clear" w:color="auto" w:fill="auto"/>
        </w:rPr>
      </w:pPr>
      <w:r>
        <w:rPr>
          <w:rFonts w:hint="eastAsia" w:ascii="方正仿宋_GBK" w:hAnsi="方正仿宋_GBK" w:eastAsia="方正仿宋_GBK" w:cs="方正仿宋_GBK"/>
          <w:color w:val="auto"/>
          <w:sz w:val="32"/>
          <w:szCs w:val="32"/>
          <w:shd w:val="clear" w:color="auto" w:fill="auto"/>
        </w:rPr>
        <w:t>运用由项目组制订评价指标体系及评分标准，该项目最终评分</w:t>
      </w:r>
      <w:r>
        <w:rPr>
          <w:rFonts w:hint="eastAsia" w:ascii="方正仿宋_GBK" w:hAnsi="方正仿宋_GBK" w:eastAsia="方正仿宋_GBK" w:cs="方正仿宋_GBK"/>
          <w:color w:val="auto"/>
          <w:sz w:val="32"/>
          <w:szCs w:val="32"/>
          <w:shd w:val="clear" w:color="auto" w:fill="auto"/>
          <w:lang w:val="en-US" w:eastAsia="zh-CN"/>
        </w:rPr>
        <w:t>98.47</w:t>
      </w:r>
      <w:r>
        <w:rPr>
          <w:rFonts w:hint="eastAsia" w:ascii="方正仿宋_GBK" w:hAnsi="方正仿宋_GBK" w:eastAsia="方正仿宋_GBK" w:cs="方正仿宋_GBK"/>
          <w:color w:val="auto"/>
          <w:sz w:val="32"/>
          <w:szCs w:val="32"/>
          <w:shd w:val="clear" w:color="auto" w:fill="auto"/>
        </w:rPr>
        <w:t>分，绩效评级为“</w:t>
      </w:r>
      <w:r>
        <w:rPr>
          <w:rFonts w:hint="eastAsia" w:ascii="方正仿宋_GBK" w:hAnsi="方正仿宋_GBK" w:eastAsia="方正仿宋_GBK" w:cs="方正仿宋_GBK"/>
          <w:color w:val="auto"/>
          <w:sz w:val="32"/>
          <w:szCs w:val="32"/>
          <w:shd w:val="clear" w:color="auto" w:fill="auto"/>
          <w:lang w:eastAsia="zh-CN"/>
        </w:rPr>
        <w:t>优</w:t>
      </w:r>
      <w:r>
        <w:rPr>
          <w:rFonts w:hint="eastAsia" w:ascii="方正仿宋_GBK" w:hAnsi="方正仿宋_GBK" w:eastAsia="方正仿宋_GBK" w:cs="方正仿宋_GBK"/>
          <w:color w:val="auto"/>
          <w:sz w:val="32"/>
          <w:szCs w:val="32"/>
          <w:shd w:val="clear" w:color="auto" w:fill="auto"/>
        </w:rPr>
        <w:t>”，具体得分情况为：项目决策</w:t>
      </w:r>
      <w:r>
        <w:rPr>
          <w:rFonts w:hint="eastAsia" w:ascii="方正仿宋_GBK" w:hAnsi="方正仿宋_GBK" w:eastAsia="方正仿宋_GBK" w:cs="方正仿宋_GBK"/>
          <w:color w:val="auto"/>
          <w:sz w:val="32"/>
          <w:szCs w:val="32"/>
          <w:shd w:val="clear" w:color="auto" w:fill="auto"/>
          <w:lang w:val="en-US" w:eastAsia="zh-CN"/>
        </w:rPr>
        <w:t>20</w:t>
      </w:r>
      <w:r>
        <w:rPr>
          <w:rFonts w:hint="eastAsia" w:ascii="方正仿宋_GBK" w:hAnsi="方正仿宋_GBK" w:eastAsia="方正仿宋_GBK" w:cs="方正仿宋_GBK"/>
          <w:color w:val="auto"/>
          <w:sz w:val="32"/>
          <w:szCs w:val="32"/>
          <w:shd w:val="clear" w:color="auto" w:fill="auto"/>
        </w:rPr>
        <w:t>分、项目过程</w:t>
      </w:r>
      <w:r>
        <w:rPr>
          <w:rFonts w:hint="eastAsia" w:ascii="方正仿宋_GBK" w:hAnsi="方正仿宋_GBK" w:eastAsia="方正仿宋_GBK" w:cs="方正仿宋_GBK"/>
          <w:color w:val="auto"/>
          <w:sz w:val="32"/>
          <w:szCs w:val="32"/>
          <w:shd w:val="clear" w:color="auto" w:fill="auto"/>
          <w:lang w:val="en-US" w:eastAsia="zh-CN"/>
        </w:rPr>
        <w:t>18.49</w:t>
      </w:r>
      <w:r>
        <w:rPr>
          <w:rFonts w:hint="eastAsia" w:ascii="方正仿宋_GBK" w:hAnsi="方正仿宋_GBK" w:eastAsia="方正仿宋_GBK" w:cs="方正仿宋_GBK"/>
          <w:color w:val="auto"/>
          <w:sz w:val="32"/>
          <w:szCs w:val="32"/>
          <w:shd w:val="clear" w:color="auto" w:fill="auto"/>
        </w:rPr>
        <w:t>分、项目产出</w:t>
      </w:r>
      <w:r>
        <w:rPr>
          <w:rFonts w:hint="eastAsia" w:ascii="方正仿宋_GBK" w:hAnsi="方正仿宋_GBK" w:eastAsia="方正仿宋_GBK" w:cs="方正仿宋_GBK"/>
          <w:color w:val="auto"/>
          <w:sz w:val="32"/>
          <w:szCs w:val="32"/>
          <w:shd w:val="clear" w:color="auto" w:fill="auto"/>
          <w:lang w:val="en-US" w:eastAsia="zh-CN"/>
        </w:rPr>
        <w:t>39.98</w:t>
      </w:r>
      <w:r>
        <w:rPr>
          <w:rFonts w:hint="eastAsia" w:ascii="方正仿宋_GBK" w:hAnsi="方正仿宋_GBK" w:eastAsia="方正仿宋_GBK" w:cs="方正仿宋_GBK"/>
          <w:color w:val="auto"/>
          <w:sz w:val="32"/>
          <w:szCs w:val="32"/>
          <w:shd w:val="clear" w:color="auto" w:fill="auto"/>
        </w:rPr>
        <w:t>分、项目效益</w:t>
      </w:r>
      <w:r>
        <w:rPr>
          <w:rFonts w:hint="eastAsia" w:ascii="方正仿宋_GBK" w:hAnsi="方正仿宋_GBK" w:eastAsia="方正仿宋_GBK" w:cs="方正仿宋_GBK"/>
          <w:color w:val="auto"/>
          <w:sz w:val="32"/>
          <w:szCs w:val="32"/>
          <w:shd w:val="clear" w:color="auto" w:fill="auto"/>
          <w:lang w:val="en-US" w:eastAsia="zh-CN"/>
        </w:rPr>
        <w:t>20</w:t>
      </w:r>
      <w:r>
        <w:rPr>
          <w:rFonts w:hint="eastAsia" w:ascii="方正仿宋_GBK" w:hAnsi="方正仿宋_GBK" w:eastAsia="方正仿宋_GBK" w:cs="方正仿宋_GBK"/>
          <w:color w:val="auto"/>
          <w:sz w:val="32"/>
          <w:szCs w:val="32"/>
          <w:shd w:val="clear" w:color="auto" w:fill="auto"/>
        </w:rPr>
        <w:t>分。</w:t>
      </w:r>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jc w:val="center"/>
        <w:textAlignment w:val="auto"/>
        <w:outlineLvl w:val="1"/>
        <w:rPr>
          <w:rFonts w:hint="eastAsia" w:ascii="方正仿宋_GBK" w:hAnsi="方正仿宋_GBK" w:eastAsia="方正仿宋_GBK" w:cs="方正仿宋_GBK"/>
          <w:color w:val="auto"/>
          <w:sz w:val="32"/>
          <w:szCs w:val="32"/>
          <w:shd w:val="clear" w:color="auto" w:fill="auto"/>
          <w:lang w:val="en-US" w:eastAsia="zh-CN"/>
        </w:rPr>
      </w:pPr>
      <w:bookmarkStart w:id="283" w:name="_Toc9337"/>
      <w:bookmarkStart w:id="284" w:name="_Toc15512"/>
      <w:r>
        <w:rPr>
          <w:rFonts w:hint="eastAsia" w:ascii="方正仿宋_GBK" w:hAnsi="方正仿宋_GBK" w:eastAsia="方正仿宋_GBK" w:cs="方正仿宋_GBK"/>
          <w:color w:val="auto"/>
          <w:sz w:val="32"/>
          <w:szCs w:val="32"/>
          <w:shd w:val="clear" w:color="auto" w:fill="auto"/>
          <w:lang w:val="en-US" w:eastAsia="zh-CN"/>
        </w:rPr>
        <w:t>莎车县基础教育设施设备提升（“优分优育”计划）项目</w:t>
      </w:r>
      <w:bookmarkEnd w:id="283"/>
      <w:bookmarkEnd w:id="284"/>
    </w:p>
    <w:p>
      <w:pPr>
        <w:pStyle w:val="32"/>
        <w:keepNext w:val="0"/>
        <w:keepLines w:val="0"/>
        <w:pageBreakBefore w:val="0"/>
        <w:widowControl w:val="0"/>
        <w:kinsoku/>
        <w:wordWrap/>
        <w:overflowPunct/>
        <w:topLinePunct w:val="0"/>
        <w:autoSpaceDE/>
        <w:autoSpaceDN/>
        <w:bidi w:val="0"/>
        <w:adjustRightInd/>
        <w:snapToGrid w:val="0"/>
        <w:spacing w:line="560" w:lineRule="exact"/>
        <w:ind w:left="2" w:right="2" w:firstLine="560"/>
        <w:jc w:val="center"/>
        <w:textAlignment w:val="auto"/>
        <w:outlineLvl w:val="1"/>
        <w:rPr>
          <w:rFonts w:hint="eastAsia" w:ascii="方正仿宋_GBK" w:hAnsi="方正仿宋_GBK" w:eastAsia="方正仿宋_GBK" w:cs="方正仿宋_GBK"/>
          <w:color w:val="auto"/>
          <w:sz w:val="32"/>
          <w:szCs w:val="32"/>
          <w:shd w:val="clear" w:color="auto" w:fill="auto"/>
          <w:lang w:val="en-US" w:eastAsia="zh-CN"/>
        </w:rPr>
      </w:pPr>
      <w:bookmarkStart w:id="285" w:name="_Toc25906"/>
      <w:bookmarkStart w:id="286" w:name="_Toc6344"/>
      <w:r>
        <w:rPr>
          <w:rFonts w:hint="eastAsia" w:ascii="方正仿宋_GBK" w:hAnsi="方正仿宋_GBK" w:eastAsia="方正仿宋_GBK" w:cs="方正仿宋_GBK"/>
          <w:color w:val="auto"/>
          <w:sz w:val="32"/>
          <w:szCs w:val="32"/>
          <w:shd w:val="clear" w:color="auto" w:fill="auto"/>
          <w:lang w:val="en-US" w:eastAsia="zh-CN"/>
        </w:rPr>
        <w:t>得分情况表</w:t>
      </w:r>
      <w:bookmarkEnd w:id="285"/>
      <w:bookmarkEnd w:id="286"/>
    </w:p>
    <w:tbl>
      <w:tblPr>
        <w:tblStyle w:val="15"/>
        <w:tblW w:w="5000" w:type="pct"/>
        <w:tblInd w:w="0" w:type="dxa"/>
        <w:tblLayout w:type="autofit"/>
        <w:tblCellMar>
          <w:top w:w="0" w:type="dxa"/>
          <w:left w:w="0" w:type="dxa"/>
          <w:bottom w:w="0" w:type="dxa"/>
          <w:right w:w="0" w:type="dxa"/>
        </w:tblCellMar>
      </w:tblPr>
      <w:tblGrid>
        <w:gridCol w:w="3541"/>
        <w:gridCol w:w="1771"/>
        <w:gridCol w:w="1771"/>
        <w:gridCol w:w="1771"/>
      </w:tblGrid>
      <w:tr>
        <w:tblPrEx>
          <w:tblCellMar>
            <w:top w:w="0" w:type="dxa"/>
            <w:left w:w="0" w:type="dxa"/>
            <w:bottom w:w="0" w:type="dxa"/>
            <w:right w:w="0" w:type="dxa"/>
          </w:tblCellMar>
        </w:tblPrEx>
        <w:trPr>
          <w:trHeight w:val="40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9"/>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得分率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0"/>
              <w:keepNext w:val="0"/>
              <w:keepLines w:val="0"/>
              <w:suppressLineNumbers w:val="0"/>
              <w:spacing w:beforeAutospacing="0" w:afterAutospacing="0"/>
              <w:ind w:left="2" w:right="2" w:firstLine="163"/>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实际得分</w:t>
            </w:r>
          </w:p>
        </w:tc>
      </w:tr>
      <w:tr>
        <w:tblPrEx>
          <w:tblCellMar>
            <w:top w:w="0" w:type="dxa"/>
            <w:left w:w="0" w:type="dxa"/>
            <w:bottom w:w="0" w:type="dxa"/>
            <w:right w:w="0" w:type="dxa"/>
          </w:tblCellMar>
        </w:tblPrEx>
        <w:trPr>
          <w:trHeight w:val="400" w:hRule="atLeast"/>
        </w:trPr>
        <w:tc>
          <w:tcPr>
            <w:tcW w:w="2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项目决策</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20</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100</w:t>
            </w:r>
            <w:r>
              <w:rPr>
                <w:rFonts w:hint="default" w:ascii="方正仿宋_GBK" w:hAnsi="方正仿宋_GBK" w:eastAsia="方正仿宋_GBK" w:cs="方正仿宋_GBK"/>
                <w:color w:val="auto"/>
                <w:kern w:val="2"/>
                <w:sz w:val="32"/>
                <w:szCs w:val="32"/>
                <w:shd w:val="clear" w:color="auto" w:fill="auto"/>
                <w:lang w:val="en-US" w:eastAsia="zh-CN" w:bidi="ar-SA"/>
              </w:rPr>
              <w:t>%</w:t>
            </w:r>
          </w:p>
        </w:tc>
        <w:tc>
          <w:tcPr>
            <w:tcW w:w="10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20</w:t>
            </w:r>
          </w:p>
        </w:tc>
      </w:tr>
      <w:tr>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项目过程</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20</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92.45</w:t>
            </w:r>
            <w:r>
              <w:rPr>
                <w:rFonts w:hint="default" w:ascii="方正仿宋_GBK" w:hAnsi="方正仿宋_GBK" w:eastAsia="方正仿宋_GBK" w:cs="方正仿宋_GBK"/>
                <w:color w:val="auto"/>
                <w:kern w:val="2"/>
                <w:sz w:val="32"/>
                <w:szCs w:val="32"/>
                <w:shd w:val="clear" w:color="auto" w:fill="auto"/>
                <w:lang w:val="en-US" w:eastAsia="zh-CN" w:bidi="ar-SA"/>
              </w:rPr>
              <w:t>%</w:t>
            </w:r>
          </w:p>
        </w:tc>
        <w:tc>
          <w:tcPr>
            <w:tcW w:w="16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18.49</w:t>
            </w:r>
          </w:p>
        </w:tc>
      </w:tr>
      <w:tr>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项目产出</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bottom"/>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40</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bottom"/>
          </w:tcPr>
          <w:p>
            <w:pPr>
              <w:pStyle w:val="34"/>
              <w:keepNext w:val="0"/>
              <w:keepLines w:val="0"/>
              <w:suppressLineNumbers w:val="0"/>
              <w:spacing w:beforeAutospacing="0" w:afterAutospacing="0"/>
              <w:ind w:left="2" w:right="2" w:firstLine="110"/>
              <w:jc w:val="center"/>
              <w:rPr>
                <w:rFonts w:hint="eastAsia"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99.95%</w:t>
            </w:r>
          </w:p>
        </w:tc>
        <w:tc>
          <w:tcPr>
            <w:tcW w:w="1664" w:type="dxa"/>
            <w:tcBorders>
              <w:top w:val="single" w:color="000000" w:sz="4" w:space="0"/>
              <w:left w:val="single" w:color="000000" w:sz="4" w:space="0"/>
              <w:bottom w:val="single" w:color="000000" w:sz="4" w:space="0"/>
              <w:right w:val="single" w:color="000000" w:sz="4" w:space="0"/>
            </w:tcBorders>
            <w:shd w:val="clear" w:color="auto" w:fill="FFFFFF"/>
            <w:vAlign w:val="bottom"/>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39.98</w:t>
            </w:r>
          </w:p>
        </w:tc>
      </w:tr>
      <w:tr>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项目效益</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20</w:t>
            </w:r>
          </w:p>
        </w:tc>
        <w:tc>
          <w:tcPr>
            <w:tcW w:w="16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100%</w:t>
            </w:r>
          </w:p>
        </w:tc>
        <w:tc>
          <w:tcPr>
            <w:tcW w:w="1664"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20</w:t>
            </w:r>
          </w:p>
        </w:tc>
      </w:tr>
      <w:tr>
        <w:tblPrEx>
          <w:tblCellMar>
            <w:top w:w="0" w:type="dxa"/>
            <w:left w:w="0" w:type="dxa"/>
            <w:bottom w:w="0" w:type="dxa"/>
            <w:right w:w="0"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default" w:ascii="方正仿宋_GBK" w:hAnsi="方正仿宋_GBK" w:eastAsia="方正仿宋_GBK" w:cs="方正仿宋_GBK"/>
                <w:color w:val="auto"/>
                <w:kern w:val="2"/>
                <w:sz w:val="32"/>
                <w:szCs w:val="32"/>
                <w:shd w:val="clear" w:color="auto" w:fill="auto"/>
                <w:lang w:val="en-US" w:eastAsia="zh-CN" w:bidi="ar-SA"/>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99.37</w:t>
            </w:r>
            <w:r>
              <w:rPr>
                <w:rFonts w:hint="default" w:ascii="方正仿宋_GBK" w:hAnsi="方正仿宋_GBK" w:eastAsia="方正仿宋_GBK" w:cs="方正仿宋_GBK"/>
                <w:color w:val="auto"/>
                <w:kern w:val="2"/>
                <w:sz w:val="32"/>
                <w:szCs w:val="32"/>
                <w:shd w:val="clear" w:color="auto" w:fill="auto"/>
                <w:lang w:val="en-US" w:eastAsia="zh-CN" w:bidi="ar-SA"/>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keepNext w:val="0"/>
              <w:keepLines w:val="0"/>
              <w:suppressLineNumbers w:val="0"/>
              <w:spacing w:beforeAutospacing="0" w:afterAutospacing="0"/>
              <w:ind w:left="2" w:right="2" w:firstLine="110"/>
              <w:jc w:val="center"/>
              <w:rPr>
                <w:rFonts w:hint="default" w:ascii="方正仿宋_GBK" w:hAnsi="方正仿宋_GBK" w:eastAsia="方正仿宋_GBK" w:cs="方正仿宋_GBK"/>
                <w:color w:val="auto"/>
                <w:kern w:val="2"/>
                <w:sz w:val="32"/>
                <w:szCs w:val="32"/>
                <w:shd w:val="clear" w:color="auto" w:fill="auto"/>
                <w:lang w:val="en-US" w:eastAsia="zh-CN" w:bidi="ar-SA"/>
              </w:rPr>
            </w:pPr>
            <w:r>
              <w:rPr>
                <w:rFonts w:hint="eastAsia" w:ascii="方正仿宋_GBK" w:hAnsi="方正仿宋_GBK" w:eastAsia="方正仿宋_GBK" w:cs="方正仿宋_GBK"/>
                <w:color w:val="auto"/>
                <w:kern w:val="2"/>
                <w:sz w:val="32"/>
                <w:szCs w:val="32"/>
                <w:shd w:val="clear" w:color="auto" w:fill="auto"/>
                <w:lang w:val="en-US" w:eastAsia="zh-CN" w:bidi="ar-SA"/>
              </w:rPr>
              <w:t>98.47</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0" w:firstLineChars="0"/>
        <w:textAlignment w:val="auto"/>
        <w:rPr>
          <w:rFonts w:hint="eastAsia" w:ascii="方正黑体_GBK" w:hAnsi="方正黑体_GBK" w:eastAsia="方正黑体_GBK" w:cs="方正黑体_GBK"/>
          <w:b w:val="0"/>
          <w:bCs/>
          <w:color w:val="auto"/>
          <w:sz w:val="32"/>
          <w:szCs w:val="32"/>
          <w:shd w:val="clear" w:color="auto" w:fill="auto"/>
          <w:lang w:val="en-US" w:eastAsia="zh-CN"/>
        </w:rPr>
      </w:pPr>
      <w:bookmarkStart w:id="287" w:name="_Toc27792"/>
      <w:r>
        <w:rPr>
          <w:rFonts w:hint="eastAsia" w:ascii="方正黑体_GBK" w:hAnsi="方正黑体_GBK" w:eastAsia="方正黑体_GBK" w:cs="方正黑体_GBK"/>
          <w:b w:val="0"/>
          <w:bCs/>
          <w:color w:val="auto"/>
          <w:sz w:val="32"/>
          <w:szCs w:val="32"/>
          <w:shd w:val="clear" w:color="auto" w:fill="auto"/>
          <w:lang w:val="en-US" w:eastAsia="zh-CN"/>
        </w:rPr>
        <w:t>四、绩效评价指标分析</w:t>
      </w:r>
      <w:bookmarkEnd w:id="287"/>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321" w:firstLineChars="100"/>
        <w:textAlignment w:val="auto"/>
        <w:outlineLvl w:val="1"/>
        <w:rPr>
          <w:rFonts w:hint="eastAsia" w:ascii="方正楷体_GBK" w:hAnsi="方正楷体_GBK" w:eastAsia="方正楷体_GBK" w:cs="方正楷体_GBK"/>
          <w:color w:val="auto"/>
          <w:sz w:val="32"/>
          <w:szCs w:val="32"/>
          <w:shd w:val="clear" w:color="auto" w:fill="auto"/>
          <w:lang w:val="en-US" w:eastAsia="zh-CN"/>
        </w:rPr>
      </w:pPr>
      <w:bookmarkStart w:id="288" w:name="_Toc21540"/>
      <w:bookmarkStart w:id="289" w:name="_Toc68364668"/>
      <w:r>
        <w:rPr>
          <w:rFonts w:hint="eastAsia" w:ascii="方正楷体_GBK" w:hAnsi="方正楷体_GBK" w:eastAsia="方正楷体_GBK" w:cs="方正楷体_GBK"/>
          <w:color w:val="auto"/>
          <w:sz w:val="32"/>
          <w:szCs w:val="32"/>
          <w:shd w:val="clear" w:color="auto" w:fill="auto"/>
          <w:lang w:val="en-US" w:eastAsia="zh-CN"/>
        </w:rPr>
        <w:t>（一）项目决策情况</w:t>
      </w:r>
      <w:bookmarkEnd w:id="288"/>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项目决策类指标包括项目立项、绩效目标和资金投入三方面的内容，由6个三级指标构成，权重分为20分，实际得分20分，得分率为100%。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15"/>
        <w:gridCol w:w="2215"/>
        <w:gridCol w:w="2216"/>
        <w:gridCol w:w="22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shd w:val="clear" w:color="auto" w:fill="auto"/>
              </w:rPr>
              <w:t>三级指标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权重</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得分率</w:t>
            </w:r>
          </w:p>
        </w:tc>
        <w:tc>
          <w:tcPr>
            <w:tcW w:w="2218"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实际得分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215" w:type="dxa"/>
            <w:tcBorders>
              <w:top w:val="single" w:color="000000" w:sz="4" w:space="0"/>
              <w:left w:val="single" w:color="000000" w:sz="4" w:space="0"/>
              <w:bottom w:val="single" w:color="auto"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立项依据充分性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auto"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立项程序规范性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绩效目标合理性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绩效指标明确性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预算编制科学性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资金分配合理性</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合计</w:t>
            </w:r>
          </w:p>
        </w:tc>
        <w:tc>
          <w:tcPr>
            <w:tcW w:w="2215"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20</w:t>
            </w:r>
          </w:p>
        </w:tc>
        <w:tc>
          <w:tcPr>
            <w:tcW w:w="2216"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218"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20</w:t>
            </w:r>
          </w:p>
        </w:tc>
      </w:tr>
    </w:tbl>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1）立项依据充分性：该项目依据《自治区对口援疆项目管理（暂行）办法》（新援疆办〔2013〕12号）、《上海市援疆项目管理暂行办法》（沪指文〔2014〕41号）、《莎车县基础教育设施设备提升（“优分优育”计划）项目实施方案的批复》（莎发改〔2025〕320号）设立实施。以习近平新时代中国特色社会主义思想为指导，以铸牢中华民族共同体意识为主线，坚持为党育人、为国育才，全面贯彻党的教育方针，落实立德树人根本任务，发展素质教育，促进教育均衡发展。项目立项符合国家法律法规、国民经济发展规划，符合中共中央、国务院及自治区关于推进教育数字化转型、提升县域教育质量、促进教育均衡发展的相关政策精神，项目立项与部门职责范围相符。根据评分标准，该指标不扣分，得3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2）立项程序规范性：项目根据《自治区对口援疆项目管理（暂行）办法》（新援疆办〔2013〕12号）、《上海市援疆项目管理暂行办法》（沪指文〔2014〕41号）、《莎车县基础教育设施设备提升（“优分优育”计划）项目实施方案的批复》（莎发改〔2025〕320号）文件设立，由莎车县教育局牵头制定《莎车县基础教育设施设备提升（“优分优育”计划）项目实施方案》，明确项目建设目标、实施内容、资金测算、进度安排和保障措施，并按程序逐级上报申请，经同级财政及相关主管部门审核同意后立项实施。项目立项过程中，决策程序合规、无简化程序，项目立项规范，根据评分标准，该指标不扣分，得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3）绩效目标合理性：该项目工作任务目标明确，制定了莎车县基础教育设施设备提升（“优分优育”计划）项目实施方案，明确了总体思路及目标、并对任务进行了详细分解，对目标进行了细化，项目设立一级指标四条，二级指标6条，三级指标10条，定量指标9条，量化率达到90%，绩效目标的设置与实际工作内容相关，按照正常的业绩水平设置了预期产出效益和效果。根据评分标准，该指标不扣分，得3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4）绩效指标明确性：通过查看该项目《绩效目标申报表》与《项目实施方案》，将项目具体核心内容细化分解为可量化、可考核的绩效指标，指标定义清晰、口径一致，能够全面反映产出和效果，便于开展绩效监控和评价。项目一级指标、二级指标、三级指标层级清晰，定量指标占比合理，量化程度较高，指标设置与项目任务高度契合。根据评分标准，该指标不扣分，得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5）预算编制科学性：通过查看项目预算编制草案，项目资金150万元全部为援疆资金，主要用于莎车县“优分优育”项目建设，包括备授课数字一体化平台服务、数字智能考阅支持服务、高质量作业支持服务、数据分析支持服务及教师培训研讨等内容。预算编制依据充分，严格按照项目实施内容、服务单价及数量进行测算，各项费用测算依据合理、标准合规，无虚列项目、高估冒算等情况，预算编制与项目实际需求高度匹配，测算过程规范、资料完整。根据评分标准，该指标不扣分，得5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6）资金分配合理性：项目资金150万元全部纳入项目统筹管理，资金分配严格依据测算分配，具体分配为：备授课数字一体化平台服务80万元、数字智能考阅支持服务35万元、高质量作业支持服务20万元、数据分析支持服务15万元。资金分配与项目任务量、工作优先级相匹配，分配方案科学合理，无截留、挤占、挪用风险，资金分配结果经主管部门及财政部门审核确认，程序合规。资金分配与实际相适应，根据评分标准，该指标不扣分，得5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outlineLvl w:val="1"/>
        <w:rPr>
          <w:rFonts w:hint="eastAsia" w:ascii="方正楷体_GBK" w:hAnsi="方正楷体_GBK" w:eastAsia="方正楷体_GBK" w:cs="方正楷体_GBK"/>
          <w:color w:val="auto"/>
          <w:sz w:val="32"/>
          <w:szCs w:val="32"/>
          <w:shd w:val="clear" w:color="auto" w:fill="auto"/>
          <w:lang w:val="en-US" w:eastAsia="zh-CN"/>
        </w:rPr>
      </w:pPr>
      <w:bookmarkStart w:id="290" w:name="_Toc24784"/>
      <w:r>
        <w:rPr>
          <w:rFonts w:hint="eastAsia" w:ascii="方正楷体_GBK" w:hAnsi="方正楷体_GBK" w:eastAsia="方正楷体_GBK" w:cs="方正楷体_GBK"/>
          <w:color w:val="auto"/>
          <w:sz w:val="32"/>
          <w:szCs w:val="32"/>
          <w:shd w:val="clear" w:color="auto" w:fill="auto"/>
          <w:lang w:val="en-US" w:eastAsia="zh-CN"/>
        </w:rPr>
        <w:t>（二）项目过程情况</w:t>
      </w:r>
      <w:bookmarkEnd w:id="290"/>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项目过程类指标包括资金管理和组织实施两方面的内容，由5个三级指标构成，权重分为20分，实际得分18.49分，得分率为92.45%。</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32"/>
        <w:gridCol w:w="2110"/>
        <w:gridCol w:w="2110"/>
        <w:gridCol w:w="21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shd w:val="clear" w:color="auto" w:fill="auto"/>
              </w:rPr>
              <w:t>三级指标</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权重</w:t>
            </w:r>
          </w:p>
        </w:tc>
        <w:tc>
          <w:tcPr>
            <w:tcW w:w="2110"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得分率</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实际得分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资金到位率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预算执行率</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99.8</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资金使用合规性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管理制度健全性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leftChars="0" w:right="0" w:rightChars="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制度执行有效性</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3</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50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253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合计</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20</w:t>
            </w:r>
          </w:p>
        </w:tc>
        <w:tc>
          <w:tcPr>
            <w:tcW w:w="2110"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92.45</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18.49</w:t>
            </w:r>
          </w:p>
        </w:tc>
      </w:tr>
    </w:tbl>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1）资金到位率：该项目预算资金150万元。截至2025年12月31日，资金到位合计150万元。资金到位率=（实际到位资金/预算资金）×100.00%=100%。得分=资金到位率×分值=100%×5=5分。援疆资金足额拨付到位，根据评分标准，该指标不扣分，得5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2）预算执行率：通过查阅单位会计凭证，9月支付设备采购费用74.95万元，11月支付项目服务费用0.39万元，12月支付设备采购费用74.25万元，预算执行率=（实际支出资金/实际到位资金）×100.00%=（149.59/150）×100.00%=99.73%。得分=预算执行率×分值=99.73%×5=4.99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3）资金使用合规性：通过查看该项目签订的合同、资金申请文件、发票等财务付款凭证，得出该项目的资金支出符合国家财经法规、《政府会计制度》以及《莎车县教育局资金管理办法》《莎车县教育局专项资金管理办法》，资金的拨付有完整的审批程序和手续，资金实际使用方向与预算批复用途一致，不存在截留、挤占、挪用、虚列支出的情况。根据评分标准，该指标不扣分，得5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4）管理制度健全性：莎车县教育局已制定《莎车县教育局资金管理办法》《莎车县教育局收支业务管理制度》《莎车县教育局采购业务管理制度》《莎车县教育局合同管理制度》，该项目执行符合上述制度规定，对财政专项资金进行严格管理，做到了专款专用，根据评分标准，该指标不扣分，得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5）制度执行有效性：莎车县教育局严格按照资金管理办法和莎车县基础教育设施设备提升（“优分优育”计划）项目实施推进项目资金审核，资金使用合规。但验收管理存在瑕疵，验收单未注明完工时间、验收报告未体现项目竣工时间，不符合项目验收流程规范；项目预算资金150万元，软件合同总价149.90万元，项目投资监理合同0.78万元，两项合计150.68万元，合同总价超出项目预算。根据评分标准，该指标扣1.5分，得1.5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outlineLvl w:val="1"/>
        <w:rPr>
          <w:rFonts w:hint="eastAsia" w:ascii="方正楷体_GBK" w:hAnsi="方正楷体_GBK" w:eastAsia="方正楷体_GBK" w:cs="方正楷体_GBK"/>
          <w:color w:val="auto"/>
          <w:sz w:val="32"/>
          <w:szCs w:val="32"/>
          <w:shd w:val="clear" w:color="auto" w:fill="auto"/>
          <w:lang w:val="en-US" w:eastAsia="zh-CN"/>
        </w:rPr>
      </w:pPr>
      <w:bookmarkStart w:id="291" w:name="_Toc27652"/>
      <w:r>
        <w:rPr>
          <w:rFonts w:hint="eastAsia" w:ascii="方正楷体_GBK" w:hAnsi="方正楷体_GBK" w:eastAsia="方正楷体_GBK" w:cs="方正楷体_GBK"/>
          <w:color w:val="auto"/>
          <w:sz w:val="32"/>
          <w:szCs w:val="32"/>
          <w:shd w:val="clear" w:color="auto" w:fill="auto"/>
          <w:lang w:val="en-US" w:eastAsia="zh-CN"/>
        </w:rPr>
        <w:t>（三）项目产出情况</w:t>
      </w:r>
      <w:bookmarkEnd w:id="291"/>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项目产出类指标包括产出数量、产出质量、产出时效、产出成本四方面的内容，由4个三级指标构成，权重分为40分，实际得分39.98分，得分率为99.95%。</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24"/>
        <w:gridCol w:w="1682"/>
        <w:gridCol w:w="2131"/>
        <w:gridCol w:w="1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shd w:val="clear" w:color="auto" w:fill="auto"/>
              </w:rPr>
              <w:t>三级指标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权重</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得分率</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实际得分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产出数量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产出质量</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产出时效</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100</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产出成本</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99.9</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0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合计</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40</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99.95</w:t>
            </w:r>
            <w:r>
              <w:rPr>
                <w:rFonts w:hint="default" w:ascii="Times New Roman" w:hAnsi="Times New Roman" w:eastAsia="方正仿宋_GBK" w:cs="方正仿宋_GBK"/>
                <w:color w:val="auto"/>
                <w:kern w:val="2"/>
                <w:sz w:val="28"/>
                <w:szCs w:val="22"/>
                <w:shd w:val="clear" w:color="auto" w:fill="auto"/>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Times New Roman" w:eastAsia="方正仿宋_GBK" w:cs="方正仿宋_GBK"/>
                <w:color w:val="auto"/>
                <w:kern w:val="2"/>
                <w:sz w:val="28"/>
                <w:szCs w:val="22"/>
                <w:shd w:val="clear" w:color="auto" w:fill="auto"/>
                <w:lang w:val="en-US" w:eastAsia="zh-CN" w:bidi="ar"/>
              </w:rPr>
              <w:t>39.98</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292" w:name="_Toc1136"/>
      <w:bookmarkStart w:id="293" w:name="_Toc32578"/>
      <w:r>
        <w:rPr>
          <w:rFonts w:hint="eastAsia" w:ascii="方正仿宋简体" w:hAnsi="方正仿宋简体" w:eastAsia="方正仿宋简体" w:cs="方正仿宋简体"/>
          <w:color w:val="auto"/>
          <w:sz w:val="32"/>
          <w:szCs w:val="32"/>
          <w:shd w:val="clear" w:color="auto" w:fill="auto"/>
          <w:lang w:val="en-US" w:eastAsia="zh-CN"/>
        </w:rPr>
        <w:t>1.对于“产出数量”</w:t>
      </w:r>
      <w:bookmarkEnd w:id="292"/>
      <w:bookmarkEnd w:id="293"/>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引入智慧教育软件服务，预期目标是等于1批，通过查看采购合同和验收单资料，该指标实际完成1批，指标完成率100%。所设分值为5分，实际得分为5分。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涵盖学校数量，预期目标大于等于8所，通过查看莎车县“优分优育”项目账号开通情况统计表，该指标实际完成8所，指标完成率100%。所设分值为5分，实际得分为5分。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合计得10分。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294" w:name="_Toc25603"/>
      <w:bookmarkStart w:id="295" w:name="_Toc13338"/>
      <w:r>
        <w:rPr>
          <w:rFonts w:hint="eastAsia" w:ascii="方正仿宋简体" w:hAnsi="方正仿宋简体" w:eastAsia="方正仿宋简体" w:cs="方正仿宋简体"/>
          <w:color w:val="auto"/>
          <w:sz w:val="32"/>
          <w:szCs w:val="32"/>
          <w:shd w:val="clear" w:color="auto" w:fill="auto"/>
          <w:lang w:val="en-US" w:eastAsia="zh-CN"/>
        </w:rPr>
        <w:t>2.对于“产出质量”</w:t>
      </w:r>
      <w:bookmarkEnd w:id="294"/>
      <w:bookmarkEnd w:id="295"/>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智慧教育软件应用率，预期目标等于100%，通过查看莎车县基础教育设施设备提升（“优分优育”计划）项目工程竣工验收报告，验收合格，实际完成100%，指标完成率100%。所设分值为10分，实际得分为10分。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合计得10分。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296" w:name="_Toc30532"/>
      <w:bookmarkStart w:id="297" w:name="_Toc1530"/>
      <w:r>
        <w:rPr>
          <w:rFonts w:hint="eastAsia" w:ascii="方正仿宋简体" w:hAnsi="方正仿宋简体" w:eastAsia="方正仿宋简体" w:cs="方正仿宋简体"/>
          <w:color w:val="auto"/>
          <w:sz w:val="32"/>
          <w:szCs w:val="32"/>
          <w:shd w:val="clear" w:color="auto" w:fill="auto"/>
          <w:lang w:val="en-US" w:eastAsia="zh-CN"/>
        </w:rPr>
        <w:t>3.对于“产出时效”</w:t>
      </w:r>
      <w:bookmarkEnd w:id="296"/>
      <w:bookmarkEnd w:id="297"/>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各类平台搭建完成及时率，预期目标等于2025年12月，通过查看莎车县基础教育设施设备提升（“优分优育”计划）项目工程竣工验收报告，完工时间为2025年12月，实际完成100%，指标完成率100%。所设分值为10分，实际得分为10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合计得10分。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298" w:name="_Toc2595"/>
      <w:bookmarkStart w:id="299" w:name="_Toc27763"/>
      <w:r>
        <w:rPr>
          <w:rFonts w:hint="eastAsia" w:ascii="方正仿宋简体" w:hAnsi="方正仿宋简体" w:eastAsia="方正仿宋简体" w:cs="方正仿宋简体"/>
          <w:color w:val="auto"/>
          <w:sz w:val="32"/>
          <w:szCs w:val="32"/>
          <w:shd w:val="clear" w:color="auto" w:fill="auto"/>
          <w:lang w:val="en-US" w:eastAsia="zh-CN"/>
        </w:rPr>
        <w:t>4.对于“产出成本”</w:t>
      </w:r>
      <w:bookmarkEnd w:id="298"/>
      <w:bookmarkEnd w:id="299"/>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备授课数字一体化平台服务费，预期目标是小于等于80万元，通过查看莎车县基础教育设施设备提升（“优分优育”计划）项目国库集中支付凭证和支付进度表，实际完成79.59万元，指标完成率99.49%。所设分值为4分，实际得分为3.98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数字智能考阅支持服务费，预期目标是小于等于35万元，实际完成35万元，通过查看莎车县基础教育设施设备提升（“优分优育”计划）项目国库集中支付凭证和支付进度表，指标完成率100%。所设分值为2分，实际得分为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高质量作业支持服务费，预期目标是小于等于20万元，通过查看莎车县基础教育设施设备提升（“优分优育”计划）项目国库集中支付凭证和支付进度表，实际完成20万元，指标完成率100%。所设分值为2分，实际得分为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数据分析支持服务费，预期目标是小于等于15万元，通过查看莎车县基础教育设施设备提升（“优分优育”计划）项目国库集中支付凭证和支付进度表，实际完成15万元，指标完成率100%。所设分值为2分，实际得分为2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合计得9.98分。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outlineLvl w:val="1"/>
        <w:rPr>
          <w:rFonts w:hint="eastAsia" w:ascii="方正楷体_GBK" w:hAnsi="方正楷体_GBK" w:eastAsia="方正楷体_GBK" w:cs="方正楷体_GBK"/>
          <w:color w:val="auto"/>
          <w:sz w:val="32"/>
          <w:szCs w:val="32"/>
          <w:shd w:val="clear" w:color="auto" w:fill="auto"/>
          <w:lang w:val="en-US" w:eastAsia="zh-CN"/>
        </w:rPr>
      </w:pPr>
      <w:bookmarkStart w:id="300" w:name="_Toc26783"/>
      <w:r>
        <w:rPr>
          <w:rFonts w:hint="eastAsia" w:ascii="方正楷体_GBK" w:hAnsi="方正楷体_GBK" w:eastAsia="方正楷体_GBK" w:cs="方正楷体_GBK"/>
          <w:color w:val="auto"/>
          <w:sz w:val="32"/>
          <w:szCs w:val="32"/>
          <w:shd w:val="clear" w:color="auto" w:fill="auto"/>
          <w:lang w:val="en-US" w:eastAsia="zh-CN"/>
        </w:rPr>
        <w:t>（四）项目效益情况</w:t>
      </w:r>
      <w:bookmarkEnd w:id="300"/>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项目效益类指标包括项目效益及满意度两个方面的内容，由2个三级指标构成，权重分为20分，实际得分20分，得分率为100%。</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17"/>
        <w:gridCol w:w="1761"/>
        <w:gridCol w:w="1784"/>
        <w:gridCol w:w="2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shd w:val="clear" w:color="auto" w:fill="auto"/>
              </w:rPr>
              <w:t>三级指标</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权重</w:t>
            </w: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得分率</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实际得分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417"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实施效益</w:t>
            </w:r>
          </w:p>
        </w:tc>
        <w:tc>
          <w:tcPr>
            <w:tcW w:w="176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178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100%</w:t>
            </w:r>
          </w:p>
        </w:tc>
        <w:tc>
          <w:tcPr>
            <w:tcW w:w="23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417"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shd w:val="clear" w:color="auto" w:fill="auto"/>
              </w:rPr>
            </w:pPr>
          </w:p>
        </w:tc>
        <w:tc>
          <w:tcPr>
            <w:tcW w:w="176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shd w:val="clear" w:color="auto" w:fill="auto"/>
              </w:rPr>
            </w:pPr>
          </w:p>
        </w:tc>
        <w:tc>
          <w:tcPr>
            <w:tcW w:w="178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shd w:val="clear" w:color="auto" w:fill="auto"/>
              </w:rPr>
            </w:pPr>
          </w:p>
        </w:tc>
        <w:tc>
          <w:tcPr>
            <w:tcW w:w="23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textAlignment w:val="auto"/>
              <w:rPr>
                <w:rFonts w:hint="default" w:ascii="Times New Roman" w:hAnsi="Times New Roman" w:eastAsia="Times New Roman" w:cs="Times New Roman"/>
                <w:color w:val="auto"/>
                <w:sz w:val="20"/>
                <w:szCs w:val="20"/>
                <w:shd w:val="clear" w:color="auto" w:fil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满意度</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 w:hRule="atLeast"/>
        </w:trPr>
        <w:tc>
          <w:tcPr>
            <w:tcW w:w="2417"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eastAsia" w:ascii="Times New Roman" w:hAnsi="方正仿宋_GBK" w:eastAsia="方正仿宋_GBK" w:cs="方正仿宋_GBK"/>
                <w:color w:val="auto"/>
                <w:kern w:val="2"/>
                <w:sz w:val="28"/>
                <w:szCs w:val="22"/>
                <w:shd w:val="clear" w:color="auto" w:fill="auto"/>
                <w:lang w:val="en-US" w:eastAsia="zh-CN" w:bidi="ar"/>
              </w:rPr>
              <w:t>合计</w:t>
            </w:r>
          </w:p>
        </w:tc>
        <w:tc>
          <w:tcPr>
            <w:tcW w:w="1761"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20</w:t>
            </w:r>
          </w:p>
        </w:tc>
        <w:tc>
          <w:tcPr>
            <w:tcW w:w="1784" w:type="dxa"/>
            <w:tcBorders>
              <w:top w:val="single" w:color="000000" w:sz="4" w:space="0"/>
              <w:left w:val="single" w:color="000000" w:sz="4" w:space="0"/>
              <w:bottom w:val="single" w:color="000000" w:sz="4" w:space="0"/>
              <w:right w:val="single" w:color="000000" w:sz="4" w:space="0"/>
            </w:tcBorders>
            <w:shd w:val="clear" w:color="auto" w:fill="FFFFFF"/>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100%</w:t>
            </w:r>
          </w:p>
        </w:tc>
        <w:tc>
          <w:tcPr>
            <w:tcW w:w="236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pageBreakBefore w:val="0"/>
              <w:widowControl w:val="0"/>
              <w:suppressLineNumbers w:val="0"/>
              <w:kinsoku w:val="0"/>
              <w:wordWrap/>
              <w:overflowPunct w:val="0"/>
              <w:topLinePunct w:val="0"/>
              <w:autoSpaceDE w:val="0"/>
              <w:autoSpaceDN w:val="0"/>
              <w:bidi w:val="0"/>
              <w:adjustRightInd/>
              <w:snapToGrid/>
              <w:spacing w:before="0" w:beforeAutospacing="0" w:after="0" w:afterAutospacing="0" w:line="560" w:lineRule="exact"/>
              <w:ind w:left="0" w:right="0" w:firstLine="0" w:firstLineChars="0"/>
              <w:jc w:val="center"/>
              <w:textAlignment w:val="auto"/>
              <w:rPr>
                <w:rFonts w:hint="default" w:eastAsia="方正仿宋_GBK" w:cs="方正仿宋_GBK"/>
                <w:color w:val="auto"/>
                <w:shd w:val="clear" w:color="auto" w:fill="auto"/>
                <w:lang w:val="en-US"/>
              </w:rPr>
            </w:pPr>
            <w:r>
              <w:rPr>
                <w:rFonts w:hint="default" w:ascii="Times New Roman" w:hAnsi="Times New Roman" w:eastAsia="方正仿宋_GBK" w:cs="方正仿宋_GBK"/>
                <w:color w:val="auto"/>
                <w:kern w:val="2"/>
                <w:sz w:val="28"/>
                <w:szCs w:val="22"/>
                <w:shd w:val="clear" w:color="auto" w:fill="auto"/>
                <w:lang w:val="en-US" w:eastAsia="zh-CN" w:bidi="ar"/>
              </w:rPr>
              <w:t>20</w:t>
            </w:r>
          </w:p>
        </w:tc>
      </w:tr>
    </w:tbl>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default" w:ascii="方正仿宋简体" w:hAnsi="方正仿宋简体" w:eastAsia="方正仿宋简体" w:cs="方正仿宋简体"/>
          <w:color w:val="auto"/>
          <w:sz w:val="32"/>
          <w:szCs w:val="32"/>
          <w:shd w:val="clear" w:color="auto" w:fill="auto"/>
          <w:lang w:val="en-US" w:eastAsia="zh-CN"/>
        </w:rPr>
      </w:pPr>
      <w:bookmarkStart w:id="301" w:name="_Toc18233"/>
      <w:bookmarkStart w:id="302" w:name="_Toc26435"/>
      <w:r>
        <w:rPr>
          <w:rFonts w:hint="eastAsia" w:ascii="方正仿宋简体" w:hAnsi="方正仿宋简体" w:eastAsia="方正仿宋简体" w:cs="方正仿宋简体"/>
          <w:color w:val="auto"/>
          <w:sz w:val="32"/>
          <w:szCs w:val="32"/>
          <w:shd w:val="clear" w:color="auto" w:fill="auto"/>
          <w:lang w:val="en-US" w:eastAsia="zh-CN"/>
        </w:rPr>
        <w:t>1.实施效益指标</w:t>
      </w:r>
      <w:bookmarkEnd w:id="301"/>
      <w:bookmarkEnd w:id="302"/>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对于“社会效益指标”：</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提升学校教学质量，预期目标是有效提升，评价组发放40份满意度调查问卷，收回40份，均表示有效提升，实际完成有效提升，指标完成率100%。所设分值为10分，实际得分为10分。</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未设置“可持续影响指标”：</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未设置“经济效益指标”：</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未设置“生态效益指标”：</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实施效益指标合计得10分。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3" w:firstLineChars="200"/>
        <w:textAlignment w:val="auto"/>
        <w:rPr>
          <w:rFonts w:hint="eastAsia" w:ascii="方正仿宋简体" w:hAnsi="方正仿宋简体" w:eastAsia="方正仿宋简体" w:cs="方正仿宋简体"/>
          <w:color w:val="auto"/>
          <w:sz w:val="32"/>
          <w:szCs w:val="32"/>
          <w:shd w:val="clear" w:color="auto" w:fill="auto"/>
          <w:lang w:val="en-US" w:eastAsia="zh-CN"/>
        </w:rPr>
      </w:pPr>
      <w:bookmarkStart w:id="303" w:name="_Toc10215"/>
      <w:bookmarkStart w:id="304" w:name="_Toc19468"/>
      <w:r>
        <w:rPr>
          <w:rFonts w:hint="eastAsia" w:ascii="方正仿宋简体" w:hAnsi="方正仿宋简体" w:eastAsia="方正仿宋简体" w:cs="方正仿宋简体"/>
          <w:color w:val="auto"/>
          <w:sz w:val="32"/>
          <w:szCs w:val="32"/>
          <w:shd w:val="clear" w:color="auto" w:fill="auto"/>
          <w:lang w:val="en-US" w:eastAsia="zh-CN"/>
        </w:rPr>
        <w:t>2.满意度指标</w:t>
      </w:r>
      <w:bookmarkEnd w:id="303"/>
      <w:bookmarkEnd w:id="304"/>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对于“满意度指标”：</w:t>
      </w: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受益师生满意度，预期目标是大于等于95%，评价组发放40份满意度调查问卷，收回40份，其中38人表示满意，实际完成95%，指标完成率100%。所设分值为10分，实际得分为10分。</w:t>
      </w:r>
      <w:bookmarkEnd w:id="289"/>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合计得10分。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黑体_GBK" w:hAnsi="方正黑体_GBK" w:eastAsia="方正黑体_GBK" w:cs="方正黑体_GBK"/>
          <w:b w:val="0"/>
          <w:bCs/>
          <w:color w:val="auto"/>
          <w:sz w:val="32"/>
          <w:szCs w:val="32"/>
          <w:shd w:val="clear" w:color="auto" w:fill="auto"/>
          <w:lang w:val="en-US" w:eastAsia="zh-CN"/>
        </w:rPr>
      </w:pPr>
      <w:bookmarkStart w:id="305" w:name="_Toc3328"/>
      <w:r>
        <w:rPr>
          <w:rFonts w:hint="eastAsia" w:ascii="方正黑体_GBK" w:hAnsi="方正黑体_GBK" w:eastAsia="方正黑体_GBK" w:cs="方正黑体_GBK"/>
          <w:b w:val="0"/>
          <w:bCs/>
          <w:color w:val="auto"/>
          <w:sz w:val="32"/>
          <w:szCs w:val="32"/>
          <w:shd w:val="clear" w:color="auto" w:fill="auto"/>
          <w:lang w:val="en-US" w:eastAsia="zh-CN"/>
        </w:rPr>
        <w:t>五、主要经验及做法、存在的问题及原因分析</w:t>
      </w:r>
      <w:bookmarkEnd w:id="305"/>
    </w:p>
    <w:p>
      <w:pPr>
        <w:widowControl w:val="0"/>
        <w:bidi w:val="0"/>
        <w:spacing w:line="560" w:lineRule="exact"/>
        <w:ind w:left="0" w:firstLine="643" w:firstLineChars="200"/>
        <w:jc w:val="both"/>
        <w:outlineLvl w:val="1"/>
        <w:rPr>
          <w:rFonts w:hint="eastAsia" w:ascii="方正楷体_GBK" w:hAnsi="方正楷体_GBK" w:eastAsia="方正楷体_GBK" w:cs="方正楷体_GBK"/>
          <w:b/>
          <w:bCs/>
          <w:color w:val="auto"/>
          <w:kern w:val="2"/>
          <w:sz w:val="32"/>
          <w:szCs w:val="32"/>
          <w:shd w:val="clear" w:color="auto" w:fill="auto"/>
          <w:lang w:val="zh-CN" w:eastAsia="zh-CN" w:bidi="zh-CN"/>
        </w:rPr>
      </w:pPr>
      <w:bookmarkStart w:id="306" w:name="_Toc2025"/>
      <w:r>
        <w:rPr>
          <w:rFonts w:hint="eastAsia" w:ascii="方正楷体_GBK" w:hAnsi="方正楷体_GBK" w:eastAsia="方正楷体_GBK" w:cs="方正楷体_GBK"/>
          <w:b/>
          <w:bCs/>
          <w:color w:val="auto"/>
          <w:kern w:val="2"/>
          <w:sz w:val="32"/>
          <w:szCs w:val="32"/>
          <w:shd w:val="clear" w:color="auto" w:fill="auto"/>
          <w:lang w:val="zh-CN" w:eastAsia="zh-CN" w:bidi="zh-CN"/>
        </w:rPr>
        <w:t>（一）主要经验及做法</w:t>
      </w:r>
      <w:bookmarkEnd w:id="306"/>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1.规范管理，构建权责清晰的实施体系</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建立“主管部门统筹、实施部门执行、财务部门监管”的三级组织架构，明确各岗位权责分工，形成闭环管理机制。严格执行专项资金管理制度，150万元援疆资金专款专用、专账核算，资金分配精准匹配授课平台、考阅支持、作业服务、数据分析等核心建设内容，审批流程完整合规，全程规避截留、挤占、挪用风险，保障资金使用高效安全。</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2.聚焦实效，精准推进数字化教学赋能</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精准聚焦义务教育教学短板，优先部署智慧教育软件服务系统，覆盖8所核心学校，确保数字化工具深度融入日常教学与晚自习场景。同步联动上海优质教育资源，开展线上高考冲刺教学培训研讨，实现“硬件+软件+师资”协同发力，快速补齐县域信息化教学短板，直接赋能教师精准教学与学生个性化学习。</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9"/>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3.闭环管控，保障项目高效落地见效</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实施全流程精细化管控，前期科学编制预算、细化绩效目标，将核心任务拆解为可量化、可考核的产出与效益指标；中期实时跟踪项目进度，定期核查资金支出、系统部署、使用频次等关键节点，及时协调解决实施堵点；后期严格开展验收评价，结合问卷调查、实地走访核验应用效果，确保项目按质按量完成，最终实现99.73%的预算执行率、100%的软件应用率，师生满意度达95%。</w:t>
      </w:r>
    </w:p>
    <w:p>
      <w:pPr>
        <w:pStyle w:val="6"/>
        <w:bidi w:val="0"/>
        <w:ind w:left="0" w:leftChars="0" w:firstLine="321" w:firstLineChars="100"/>
        <w:outlineLvl w:val="1"/>
        <w:rPr>
          <w:rFonts w:hint="eastAsia"/>
          <w:lang w:val="en-US" w:eastAsia="zh-CN"/>
        </w:rPr>
      </w:pPr>
      <w:bookmarkStart w:id="307" w:name="_Toc17450"/>
      <w:bookmarkStart w:id="308" w:name="_Toc31447"/>
      <w:bookmarkStart w:id="309" w:name="_Toc13699"/>
      <w:bookmarkStart w:id="310" w:name="_Toc23674"/>
      <w:r>
        <w:rPr>
          <w:rFonts w:hint="eastAsia"/>
          <w:lang w:val="en-US" w:eastAsia="zh-CN"/>
        </w:rPr>
        <w:t>（二）存在问题及原因分析</w:t>
      </w:r>
      <w:bookmarkEnd w:id="307"/>
      <w:bookmarkEnd w:id="308"/>
      <w:bookmarkEnd w:id="309"/>
      <w:bookmarkEnd w:id="310"/>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default" w:ascii="方正仿宋简体" w:hAnsi="方正仿宋简体" w:eastAsia="方正仿宋简体" w:cs="方正仿宋简体"/>
          <w:b/>
          <w:bCs w:val="0"/>
          <w:color w:val="auto"/>
          <w:sz w:val="32"/>
          <w:szCs w:val="32"/>
          <w:shd w:val="clear" w:color="auto" w:fill="auto"/>
          <w:lang w:val="en-US" w:eastAsia="zh-CN"/>
        </w:rPr>
      </w:pPr>
      <w:bookmarkStart w:id="311" w:name="_Toc24643"/>
      <w:r>
        <w:rPr>
          <w:rFonts w:hint="eastAsia" w:ascii="方正仿宋简体" w:hAnsi="方正仿宋简体" w:eastAsia="方正仿宋简体" w:cs="方正仿宋简体"/>
          <w:b/>
          <w:bCs w:val="0"/>
          <w:color w:val="auto"/>
          <w:sz w:val="32"/>
          <w:szCs w:val="32"/>
          <w:shd w:val="clear" w:color="auto" w:fill="auto"/>
          <w:lang w:val="en-US" w:eastAsia="zh-CN"/>
        </w:rPr>
        <w:t>1.项目执行管理有待加强</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1"/>
        <w:rPr>
          <w:rFonts w:hint="eastAsia" w:ascii="方正仿宋_GBK" w:hAnsi="方正仿宋_GBK" w:eastAsia="方正仿宋_GBK" w:cs="方正仿宋_GBK"/>
          <w:b w:val="0"/>
          <w:bCs/>
          <w:color w:val="auto"/>
          <w:sz w:val="32"/>
          <w:szCs w:val="32"/>
          <w:shd w:val="clear" w:color="auto" w:fill="auto"/>
          <w:lang w:val="en-US" w:eastAsia="zh-CN"/>
        </w:rPr>
      </w:pPr>
      <w:r>
        <w:rPr>
          <w:rFonts w:hint="eastAsia" w:ascii="方正仿宋_GBK" w:hAnsi="方正仿宋_GBK" w:eastAsia="方正仿宋_GBK" w:cs="方正仿宋_GBK"/>
          <w:b w:val="0"/>
          <w:bCs/>
          <w:color w:val="auto"/>
          <w:sz w:val="32"/>
          <w:szCs w:val="32"/>
          <w:shd w:val="clear" w:color="auto" w:fill="auto"/>
          <w:lang w:val="en-US" w:eastAsia="zh-CN"/>
        </w:rPr>
        <w:t>项目预算资金150万元，软件合同总价149.90万元，项目投资监理合同0.78万元，两项合计150.68万元，合同总价超出项目预算，项目合同价较项目预算高出0.45%，超预算实施项目，极易形成单位应付未付账款。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2.长效运营机制有待完善，后续应用赋能不足</w:t>
      </w:r>
      <w:bookmarkEnd w:id="311"/>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项目聚焦系统部署与短期应用，对软件后续迭代升级、教师常态化信息化能力提升、数据深度分析应用等长效工作规划不足，难以保障数字化教学效能持续释放。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eastAsia" w:ascii="方正仿宋简体" w:hAnsi="方正仿宋简体" w:eastAsia="方正仿宋简体" w:cs="方正仿宋简体"/>
          <w:b/>
          <w:bCs w:val="0"/>
          <w:color w:val="auto"/>
          <w:sz w:val="32"/>
          <w:szCs w:val="32"/>
          <w:shd w:val="clear" w:color="auto" w:fill="auto"/>
          <w:lang w:val="en-US" w:eastAsia="zh-CN"/>
        </w:rPr>
      </w:pPr>
      <w:bookmarkStart w:id="312" w:name="_Toc31179"/>
      <w:r>
        <w:rPr>
          <w:rFonts w:hint="eastAsia" w:ascii="方正仿宋简体" w:hAnsi="方正仿宋简体" w:eastAsia="方正仿宋简体" w:cs="方正仿宋简体"/>
          <w:b/>
          <w:bCs w:val="0"/>
          <w:color w:val="auto"/>
          <w:sz w:val="32"/>
          <w:szCs w:val="32"/>
          <w:shd w:val="clear" w:color="auto" w:fill="auto"/>
          <w:lang w:val="en-US" w:eastAsia="zh-CN"/>
        </w:rPr>
        <w:t>3.项目验收管理不够规范</w:t>
      </w:r>
      <w:bookmarkEnd w:id="312"/>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default"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验收单、竣工验收报告未明确标注项目完工时间、竣工时间，缺少关键节点佐证材料，验收流程完整性、规范性不足，不利于项目全过程追溯管理。</w:t>
      </w:r>
    </w:p>
    <w:p>
      <w:pPr>
        <w:pStyle w:val="5"/>
        <w:keepNext w:val="0"/>
        <w:keepLines w:val="0"/>
        <w:pageBreakBefore w:val="0"/>
        <w:widowControl w:val="0"/>
        <w:kinsoku w:val="0"/>
        <w:wordWrap/>
        <w:overflowPunct w:val="0"/>
        <w:topLinePunct w:val="0"/>
        <w:autoSpaceDE w:val="0"/>
        <w:autoSpaceDN w:val="0"/>
        <w:bidi w:val="0"/>
        <w:adjustRightInd/>
        <w:snapToGrid/>
        <w:spacing w:before="0" w:beforeLines="0" w:after="0" w:afterLines="0" w:line="560" w:lineRule="exact"/>
        <w:ind w:left="0" w:leftChars="0" w:right="0" w:firstLine="640" w:firstLineChars="200"/>
        <w:textAlignment w:val="auto"/>
        <w:rPr>
          <w:rFonts w:hint="eastAsia" w:ascii="方正黑体_GBK" w:hAnsi="方正黑体_GBK" w:eastAsia="方正黑体_GBK" w:cs="方正黑体_GBK"/>
          <w:b w:val="0"/>
          <w:bCs/>
          <w:color w:val="auto"/>
          <w:sz w:val="32"/>
          <w:szCs w:val="32"/>
          <w:shd w:val="clear" w:color="auto" w:fill="auto"/>
          <w:lang w:val="zh-CN" w:eastAsia="zh-CN"/>
        </w:rPr>
      </w:pPr>
      <w:bookmarkStart w:id="313" w:name="_Toc636"/>
      <w:r>
        <w:rPr>
          <w:rFonts w:hint="eastAsia" w:ascii="方正黑体_GBK" w:hAnsi="方正黑体_GBK" w:eastAsia="方正黑体_GBK" w:cs="方正黑体_GBK"/>
          <w:b w:val="0"/>
          <w:bCs/>
          <w:color w:val="auto"/>
          <w:sz w:val="32"/>
          <w:szCs w:val="32"/>
          <w:shd w:val="clear" w:color="auto" w:fill="auto"/>
          <w:lang w:val="en-US" w:eastAsia="zh-CN"/>
        </w:rPr>
        <w:t>六、</w:t>
      </w:r>
      <w:r>
        <w:rPr>
          <w:rFonts w:hint="eastAsia" w:ascii="方正黑体_GBK" w:hAnsi="方正黑体_GBK" w:eastAsia="方正黑体_GBK" w:cs="方正黑体_GBK"/>
          <w:b w:val="0"/>
          <w:bCs/>
          <w:color w:val="auto"/>
          <w:sz w:val="32"/>
          <w:szCs w:val="32"/>
          <w:shd w:val="clear" w:color="auto" w:fill="auto"/>
          <w:lang w:val="zh-CN" w:eastAsia="zh-CN"/>
        </w:rPr>
        <w:t>有关建议</w:t>
      </w:r>
      <w:bookmarkEnd w:id="313"/>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default" w:ascii="方正仿宋简体" w:hAnsi="方正仿宋简体" w:eastAsia="方正仿宋简体" w:cs="方正仿宋简体"/>
          <w:b/>
          <w:bCs w:val="0"/>
          <w:color w:val="auto"/>
          <w:sz w:val="32"/>
          <w:szCs w:val="32"/>
          <w:shd w:val="clear" w:color="auto" w:fill="auto"/>
          <w:lang w:val="en-US" w:eastAsia="zh-CN"/>
        </w:rPr>
      </w:pPr>
      <w:bookmarkStart w:id="314" w:name="_Toc4220"/>
      <w:r>
        <w:rPr>
          <w:rFonts w:hint="eastAsia" w:ascii="方正仿宋简体" w:hAnsi="方正仿宋简体" w:eastAsia="方正仿宋简体" w:cs="方正仿宋简体"/>
          <w:b/>
          <w:bCs w:val="0"/>
          <w:color w:val="auto"/>
          <w:sz w:val="32"/>
          <w:szCs w:val="32"/>
          <w:shd w:val="clear" w:color="auto" w:fill="auto"/>
          <w:lang w:val="en-US" w:eastAsia="zh-CN"/>
        </w:rPr>
        <w:t>1.加强项目管理</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1"/>
        <w:rPr>
          <w:rFonts w:hint="eastAsia" w:ascii="方正仿宋_GBK" w:hAnsi="方正仿宋_GBK" w:eastAsia="方正仿宋_GBK" w:cs="方正仿宋_GBK"/>
          <w:b w:val="0"/>
          <w:bCs/>
          <w:color w:val="auto"/>
          <w:sz w:val="32"/>
          <w:szCs w:val="32"/>
          <w:shd w:val="clear" w:color="auto" w:fill="auto"/>
          <w:lang w:val="en-US" w:eastAsia="zh-CN"/>
        </w:rPr>
      </w:pPr>
      <w:r>
        <w:rPr>
          <w:rFonts w:hint="eastAsia" w:ascii="方正仿宋_GBK" w:hAnsi="方正仿宋_GBK" w:eastAsia="方正仿宋_GBK" w:cs="方正仿宋_GBK"/>
          <w:b w:val="0"/>
          <w:bCs/>
          <w:color w:val="auto"/>
          <w:sz w:val="32"/>
          <w:szCs w:val="32"/>
          <w:shd w:val="clear" w:color="auto" w:fill="auto"/>
          <w:lang w:val="en-US" w:eastAsia="zh-CN"/>
        </w:rPr>
        <w:t>建立业务、财务多部门联合合同审核机制，所有项目合同签订前，必须对照项目发改批复、实施方案、预算下达文件，逐项核对合同标的、服务内容、总金额，确保合同内容完全匹配批复建设范围、合同总价严格控制在项目预算总额内。对超预算、无预算、超出批复建设内容的合同，一律不予盖章、不予办理后续支付，坚决杜绝“先签合同、后补手续”；在150万元预算额度内按项目进度支付款项，严禁超预算付款。</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3" w:firstLineChars="200"/>
        <w:textAlignment w:val="auto"/>
        <w:outlineLvl w:val="1"/>
        <w:rPr>
          <w:rFonts w:hint="eastAsia" w:ascii="方正仿宋简体" w:hAnsi="方正仿宋简体" w:eastAsia="方正仿宋简体" w:cs="方正仿宋简体"/>
          <w:b/>
          <w:bCs w:val="0"/>
          <w:color w:val="auto"/>
          <w:sz w:val="32"/>
          <w:szCs w:val="32"/>
          <w:shd w:val="clear" w:color="auto" w:fill="auto"/>
          <w:lang w:val="en-US" w:eastAsia="zh-CN"/>
        </w:rPr>
      </w:pPr>
      <w:r>
        <w:rPr>
          <w:rFonts w:hint="eastAsia" w:ascii="方正仿宋简体" w:hAnsi="方正仿宋简体" w:eastAsia="方正仿宋简体" w:cs="方正仿宋简体"/>
          <w:b/>
          <w:bCs w:val="0"/>
          <w:color w:val="auto"/>
          <w:sz w:val="32"/>
          <w:szCs w:val="32"/>
          <w:shd w:val="clear" w:color="auto" w:fill="auto"/>
          <w:lang w:val="en-US" w:eastAsia="zh-CN"/>
        </w:rPr>
        <w:t>2.构建长效运营机制，持续释放数字化赋能效能</w:t>
      </w:r>
      <w:bookmarkEnd w:id="314"/>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建立“建设+运营+维护”一体化管理模式，将智慧教育系统后续运维、迭代升级费用纳入年度预算，保障系统稳定运行；制定常态化师资培训计划，定期邀请上海及本地专家开展数字化教学进阶培训，提升教师深度应用能力；搭建教学数据分析专班，定期复盘学情、教情数据，形成分析报告并指导教学优化，最大化发挥数据价值。</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textAlignment w:val="auto"/>
        <w:outlineLvl w:val="1"/>
        <w:rPr>
          <w:rFonts w:hint="eastAsia" w:ascii="方正仿宋简体" w:hAnsi="方正仿宋简体" w:eastAsia="方正仿宋简体" w:cs="方正仿宋简体"/>
          <w:b/>
          <w:bCs w:val="0"/>
          <w:color w:val="auto"/>
          <w:sz w:val="32"/>
          <w:szCs w:val="32"/>
          <w:shd w:val="clear" w:color="auto" w:fill="auto"/>
          <w:lang w:val="en-US" w:eastAsia="zh-CN"/>
        </w:rPr>
      </w:pPr>
      <w:bookmarkStart w:id="315" w:name="_Toc13936"/>
      <w:r>
        <w:rPr>
          <w:rFonts w:hint="eastAsia" w:ascii="方正仿宋简体" w:hAnsi="方正仿宋简体" w:eastAsia="方正仿宋简体" w:cs="方正仿宋简体"/>
          <w:b/>
          <w:bCs w:val="0"/>
          <w:color w:val="auto"/>
          <w:sz w:val="32"/>
          <w:szCs w:val="32"/>
          <w:shd w:val="clear" w:color="auto" w:fill="auto"/>
          <w:lang w:val="en-US" w:eastAsia="zh-CN"/>
        </w:rPr>
        <w:t>3.规范验收流程，健全标准化资料管理体系</w:t>
      </w:r>
      <w:bookmarkEnd w:id="315"/>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制定统一的项目验收管理办法与台账模板，明确验收单、竣工报告、佐证材料的必填要素，强制要求注明完工时间、验收时间、验收结论等关键信息；安排专人负责验收资料审核，实行“资料不全不验收、流程不合规不通过”，确保验收工作标准化、规范化，留存完整闭环资料。</w:t>
      </w:r>
    </w:p>
    <w:p>
      <w:pPr>
        <w:keepNext w:val="0"/>
        <w:keepLines w:val="0"/>
        <w:pageBreakBefore w:val="0"/>
        <w:widowControl w:val="0"/>
        <w:kinsoku w:val="0"/>
        <w:wordWrap/>
        <w:overflowPunct w:val="0"/>
        <w:topLinePunct w:val="0"/>
        <w:autoSpaceDE w:val="0"/>
        <w:autoSpaceDN w:val="0"/>
        <w:bidi w:val="0"/>
        <w:adjustRightInd/>
        <w:snapToGrid/>
        <w:spacing w:line="560" w:lineRule="exact"/>
        <w:ind w:right="0"/>
        <w:textAlignment w:val="auto"/>
        <w:outlineLvl w:val="0"/>
        <w:rPr>
          <w:rFonts w:hint="eastAsia" w:ascii="方正黑体_GBK" w:hAnsi="方正黑体_GBK" w:eastAsia="方正黑体_GBK" w:cs="方正黑体_GBK"/>
          <w:color w:val="auto"/>
          <w:sz w:val="32"/>
          <w:szCs w:val="32"/>
          <w:shd w:val="clear" w:color="auto" w:fill="auto"/>
          <w:lang w:val="en-US" w:eastAsia="zh-CN"/>
        </w:rPr>
      </w:pPr>
      <w:bookmarkStart w:id="316" w:name="_Toc15403"/>
      <w:r>
        <w:rPr>
          <w:rFonts w:hint="eastAsia" w:ascii="方正黑体_GBK" w:hAnsi="方正黑体_GBK" w:eastAsia="方正黑体_GBK" w:cs="方正黑体_GBK"/>
          <w:color w:val="auto"/>
          <w:sz w:val="32"/>
          <w:szCs w:val="32"/>
          <w:shd w:val="clear" w:color="auto" w:fill="auto"/>
          <w:lang w:val="en-US" w:eastAsia="zh-CN"/>
        </w:rPr>
        <w:t>七、其他需要说明的问题</w:t>
      </w:r>
      <w:bookmarkEnd w:id="316"/>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9"/>
        <w:rPr>
          <w:rFonts w:hint="eastAsia" w:ascii="方正仿宋_GBK" w:hAnsi="方正仿宋_GBK" w:eastAsia="方正仿宋_GBK" w:cs="方正仿宋_GBK"/>
          <w:b w:val="0"/>
          <w:bCs w:val="0"/>
          <w:color w:val="auto"/>
          <w:kern w:val="0"/>
          <w:sz w:val="32"/>
          <w:szCs w:val="32"/>
          <w:shd w:val="clear" w:color="auto" w:fill="auto"/>
          <w:lang w:val="en-US" w:eastAsia="zh-CN" w:bidi="en-US"/>
        </w:rPr>
      </w:pPr>
      <w:r>
        <w:rPr>
          <w:rFonts w:hint="eastAsia" w:ascii="方正仿宋_GBK" w:hAnsi="方正仿宋_GBK" w:eastAsia="方正仿宋_GBK" w:cs="方正仿宋_GBK"/>
          <w:b w:val="0"/>
          <w:bCs w:val="0"/>
          <w:color w:val="auto"/>
          <w:kern w:val="0"/>
          <w:sz w:val="32"/>
          <w:szCs w:val="32"/>
          <w:shd w:val="clear" w:color="auto" w:fill="auto"/>
          <w:lang w:val="en-US" w:eastAsia="zh-CN" w:bidi="en-US"/>
        </w:rPr>
        <w:t>我单位对上述项目支出绩效评价报告内反映内容的真实性、完整性负责，接受上级部门及社会公众监督。</w:t>
      </w:r>
    </w:p>
    <w:p>
      <w:pPr>
        <w:pStyle w:val="5"/>
        <w:bidi w:val="0"/>
        <w:spacing w:before="0" w:after="0" w:line="620" w:lineRule="exact"/>
        <w:rPr>
          <w:rFonts w:hint="eastAsia" w:ascii="Times New Roman" w:hAnsi="Times New Roman" w:eastAsia="方正黑体_GBK" w:cs="方正黑体_GBK"/>
          <w:b w:val="0"/>
          <w:sz w:val="32"/>
          <w:szCs w:val="32"/>
          <w:lang w:val="en-US" w:eastAsia="zh-CN"/>
        </w:rPr>
      </w:pPr>
      <w:bookmarkStart w:id="317" w:name="_Toc28671"/>
      <w:bookmarkStart w:id="318" w:name="_Toc22216"/>
      <w:bookmarkStart w:id="319" w:name="_Toc19011"/>
      <w:bookmarkStart w:id="320" w:name="_Toc19941"/>
      <w:r>
        <w:rPr>
          <w:rFonts w:hint="eastAsia" w:ascii="Times New Roman" w:hAnsi="Times New Roman" w:eastAsia="方正黑体_GBK" w:cs="方正黑体_GBK"/>
          <w:b w:val="0"/>
          <w:sz w:val="32"/>
          <w:szCs w:val="32"/>
          <w:lang w:val="en-US" w:eastAsia="zh-CN"/>
        </w:rPr>
        <w:t>八、绩效评价结果应用建议</w:t>
      </w:r>
      <w:bookmarkEnd w:id="317"/>
      <w:bookmarkEnd w:id="318"/>
      <w:bookmarkEnd w:id="319"/>
      <w:bookmarkEnd w:id="320"/>
    </w:p>
    <w:p>
      <w:pPr>
        <w:bidi w:val="0"/>
        <w:spacing w:line="620" w:lineRule="exact"/>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该项目综合评价得分为98.47分，评定等级为“优”，为有效提高财政预算资金的经济性、效率性、效益性和公平性，建议将本次绩效评价结果作为预算单位次年预算编制的重要依据，并优化支出结构、完善相关办法、改进预算管理。建议根据政策制度，结合莎车县党委、莎车县人民政府工作安排以及本级财力情况等因素，原则上优先予以保障本项目。</w:t>
      </w:r>
    </w:p>
    <w:p>
      <w:pPr>
        <w:bidi w:val="0"/>
        <w:spacing w:line="620" w:lineRule="exact"/>
        <w:rPr>
          <w:rFonts w:hint="default" w:ascii="Times New Roman" w:hAnsi="Times New Roman" w:eastAsia="方正仿宋_GBK" w:cs="方正仿宋_GBK"/>
          <w:sz w:val="32"/>
          <w:szCs w:val="32"/>
          <w:lang w:val="en-US" w:eastAsia="zh-CN"/>
        </w:rPr>
      </w:pPr>
      <w:r>
        <w:rPr>
          <w:rFonts w:hint="default" w:ascii="Times New Roman" w:hAnsi="Times New Roman" w:eastAsia="方正仿宋_GBK" w:cs="方正仿宋_GBK"/>
          <w:sz w:val="32"/>
          <w:szCs w:val="32"/>
          <w:lang w:val="en-US" w:eastAsia="zh-CN"/>
        </w:rPr>
        <w:t>根据本次绩效评价报告中所反馈的问题和建议，由项目实施单位及时研究制定整改措施，积极落实整改要求，切实改进资金管理和项目管理，并在规定的时间内，将整改情况向莎车县财政局行文报告。</w:t>
      </w:r>
    </w:p>
    <w:p>
      <w:pPr>
        <w:bidi w:val="0"/>
        <w:spacing w:line="620" w:lineRule="exact"/>
        <w:rPr>
          <w:rFonts w:hint="default" w:ascii="Times New Roman" w:hAnsi="Times New Roman" w:eastAsia="方正仿宋_GBK" w:cs="方正仿宋_GBK"/>
          <w:sz w:val="32"/>
          <w:szCs w:val="32"/>
          <w:lang w:val="en-US" w:eastAsia="zh-CN"/>
        </w:rPr>
      </w:pPr>
      <w:r>
        <w:rPr>
          <w:rFonts w:hint="default" w:ascii="Times New Roman" w:hAnsi="Times New Roman" w:eastAsia="方正仿宋_GBK" w:cs="方正仿宋_GBK"/>
          <w:sz w:val="32"/>
          <w:szCs w:val="32"/>
          <w:lang w:val="en-US" w:eastAsia="zh-CN"/>
        </w:rPr>
        <w:t>积极推进评价结果和评价报告等绩效信息的公开。按照政府信息公开有关规定，由莎车县财政局将本次绩效评价的结果信息进行公开，加强社会和舆论监督，提高财政资金使用透明度。</w:t>
      </w:r>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1" w:name="_Toc21220"/>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附件1:莎车县基础教育设施设备提升（“优分优育”计划）项目绩效评价指标体系及打分表</w:t>
      </w:r>
      <w:bookmarkEnd w:id="321"/>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2" w:name="_Toc27795"/>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附件2：莎车县基础教育设施设备提升（“优分优育”计划）项目基础信息采集表</w:t>
      </w:r>
      <w:bookmarkEnd w:id="322"/>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3" w:name="_Toc24564"/>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附件3：访谈记录</w:t>
      </w:r>
      <w:bookmarkEnd w:id="323"/>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4" w:name="_Toc21819"/>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附件4：财政局整体绩效评价报告确认单</w:t>
      </w:r>
      <w:bookmarkEnd w:id="324"/>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5" w:name="_Toc5396"/>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附件5：预算单位整体绩效评价报告确认单</w:t>
      </w:r>
      <w:bookmarkEnd w:id="325"/>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6" w:name="_Toc3242"/>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附件6：调查问卷结果分析报告及调查问卷样表</w:t>
      </w:r>
      <w:bookmarkEnd w:id="326"/>
    </w:p>
    <w:p>
      <w:pPr>
        <w:keepNext w:val="0"/>
        <w:keepLines w:val="0"/>
        <w:pageBreakBefore w:val="0"/>
        <w:widowControl w:val="0"/>
        <w:kinsoku w:val="0"/>
        <w:wordWrap/>
        <w:overflowPunct w:val="0"/>
        <w:topLinePunct w:val="0"/>
        <w:autoSpaceDE w:val="0"/>
        <w:autoSpaceDN w:val="0"/>
        <w:bidi w:val="0"/>
        <w:adjustRightInd/>
        <w:snapToGrid/>
        <w:spacing w:line="560" w:lineRule="exact"/>
        <w:ind w:left="0" w:leftChars="0" w:right="0" w:firstLine="640" w:firstLineChars="200"/>
        <w:textAlignment w:val="auto"/>
        <w:outlineLvl w:val="0"/>
        <w:rPr>
          <w:rFonts w:hint="eastAsia" w:ascii="方正仿宋_GBK" w:hAnsi="方正仿宋_GBK" w:eastAsia="方正仿宋_GBK" w:cs="方正仿宋_GBK"/>
          <w:b w:val="0"/>
          <w:bCs w:val="0"/>
          <w:color w:val="auto"/>
          <w:kern w:val="0"/>
          <w:sz w:val="32"/>
          <w:szCs w:val="32"/>
          <w:shd w:val="clear" w:color="auto" w:fill="auto"/>
          <w:lang w:val="en-US" w:eastAsia="zh-CN" w:bidi="en-US"/>
        </w:rPr>
      </w:pPr>
      <w:bookmarkStart w:id="327" w:name="_Toc32245"/>
      <w:r>
        <w:rPr>
          <w:rFonts w:hint="eastAsia" w:ascii="方正仿宋_GBK" w:hAnsi="方正仿宋_GBK" w:eastAsia="方正仿宋_GBK" w:cs="方正仿宋_GBK"/>
          <w:b w:val="0"/>
          <w:bCs w:val="0"/>
          <w:color w:val="auto"/>
          <w:kern w:val="0"/>
          <w:sz w:val="32"/>
          <w:szCs w:val="32"/>
          <w:shd w:val="clear" w:color="auto" w:fill="auto"/>
          <w:lang w:val="en-US" w:eastAsia="zh-CN" w:bidi="en-US"/>
        </w:rPr>
        <w:t>附件7：工作记录图片</w:t>
      </w:r>
      <w:bookmarkEnd w:id="327"/>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rPr>
          <w:rFonts w:hint="eastAsia" w:ascii="仿宋_GB2312" w:hAnsi="仿宋_GB2312" w:eastAsia="仿宋_GB2312" w:cs="仿宋_GB2312"/>
          <w:b/>
          <w:bCs/>
          <w:color w:val="auto"/>
          <w:kern w:val="0"/>
          <w:sz w:val="28"/>
          <w:szCs w:val="28"/>
          <w:shd w:val="clear" w:color="auto" w:fill="auto"/>
          <w:lang w:val="en-US" w:eastAsia="zh-CN" w:bidi="en-US"/>
        </w:rPr>
      </w:pPr>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default" w:ascii="Times New Roman" w:hAnsi="Times New Roman" w:eastAsia="方正仿宋简体" w:cs="Times New Roman"/>
          <w:color w:val="auto"/>
          <w:kern w:val="2"/>
          <w:sz w:val="32"/>
          <w:szCs w:val="32"/>
          <w:highlight w:val="none"/>
          <w:shd w:val="clear" w:color="auto" w:fill="auto"/>
          <w:lang w:val="en-US" w:eastAsia="zh-CN" w:bidi="zh-CN"/>
        </w:rPr>
        <w:sectPr>
          <w:footerReference r:id="rId7" w:type="default"/>
          <w:pgSz w:w="11906" w:h="16838"/>
          <w:pgMar w:top="1984" w:right="1531" w:bottom="1701" w:left="1531" w:header="851" w:footer="1304" w:gutter="0"/>
          <w:pgNumType w:fmt="decimal" w:start="1"/>
          <w:cols w:space="425" w:num="1"/>
          <w:docGrid w:type="lines" w:linePitch="312" w:charSpace="0"/>
        </w:sectPr>
      </w:pPr>
    </w:p>
    <w:p>
      <w:pPr>
        <w:widowControl w:val="0"/>
        <w:snapToGrid w:val="0"/>
        <w:spacing w:before="120" w:beforeLines="50"/>
        <w:ind w:left="3" w:leftChars="1" w:right="3" w:rightChars="1" w:firstLine="3" w:firstLineChars="1"/>
        <w:jc w:val="both"/>
        <w:outlineLvl w:val="0"/>
        <w:rPr>
          <w:rFonts w:hint="eastAsia" w:ascii="楷体_GB2312" w:hAnsi="楷体_GB2312" w:eastAsia="楷体_GB2312" w:cs="楷体_GB2312"/>
          <w:b/>
          <w:bCs/>
          <w:color w:val="auto"/>
          <w:kern w:val="2"/>
          <w:sz w:val="32"/>
          <w:szCs w:val="32"/>
          <w:lang w:val="en-US" w:eastAsia="zh-CN" w:bidi="ar-SA"/>
        </w:rPr>
      </w:pPr>
      <w:bookmarkStart w:id="328" w:name="_Toc5684"/>
      <w:bookmarkStart w:id="329" w:name="_Toc27034"/>
      <w:r>
        <w:rPr>
          <w:rFonts w:hint="eastAsia" w:ascii="楷体_GB2312" w:hAnsi="楷体_GB2312" w:eastAsia="楷体_GB2312" w:cs="楷体_GB2312"/>
          <w:b/>
          <w:bCs/>
          <w:color w:val="auto"/>
          <w:kern w:val="2"/>
          <w:sz w:val="32"/>
          <w:szCs w:val="32"/>
          <w:lang w:val="en-US" w:eastAsia="zh-CN" w:bidi="ar-SA"/>
        </w:rPr>
        <w:t>附件1：莎车县基础教育设施设备提升（“优分优育”计划）项目绩效评价指标综合评分表</w:t>
      </w:r>
      <w:bookmarkEnd w:id="328"/>
      <w:bookmarkEnd w:id="329"/>
    </w:p>
    <w:p>
      <w:pPr>
        <w:pStyle w:val="3"/>
        <w:keepNext w:val="0"/>
        <w:keepLines w:val="0"/>
        <w:pageBreakBefore w:val="0"/>
        <w:widowControl w:val="0"/>
        <w:kinsoku w:val="0"/>
        <w:wordWrap/>
        <w:overflowPunct w:val="0"/>
        <w:topLinePunct w:val="0"/>
        <w:autoSpaceDE w:val="0"/>
        <w:autoSpaceDN w:val="0"/>
        <w:bidi w:val="0"/>
        <w:adjustRightInd/>
        <w:snapToGrid/>
        <w:spacing w:line="560" w:lineRule="exact"/>
        <w:ind w:right="0" w:firstLine="0" w:firstLineChars="0"/>
        <w:textAlignment w:val="auto"/>
        <w:rPr>
          <w:rFonts w:hint="eastAsia" w:ascii="楷体_GB2312" w:hAnsi="楷体_GB2312" w:eastAsia="楷体_GB2312" w:cs="楷体_GB2312"/>
          <w:b/>
          <w:bCs/>
          <w:color w:val="auto"/>
          <w:kern w:val="2"/>
          <w:sz w:val="32"/>
          <w:szCs w:val="32"/>
          <w:highlight w:val="none"/>
          <w:lang w:val="en-US" w:eastAsia="zh-CN" w:bidi="zh-CN"/>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680"/>
        <w:gridCol w:w="477"/>
        <w:gridCol w:w="426"/>
        <w:gridCol w:w="1191"/>
        <w:gridCol w:w="1176"/>
        <w:gridCol w:w="2183"/>
        <w:gridCol w:w="2880"/>
        <w:gridCol w:w="3184"/>
        <w:gridCol w:w="616"/>
        <w:gridCol w:w="7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权重</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指标解释</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评价标准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评分规则</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评分过程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决策（20分）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项目立项（5分）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立项依据充分性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项目立项是否符合法律法规、相关政策、发展规划以及部门职责，用以反映和考核项目立项依据情况。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充分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以上五项中，符合则得满分，否则扣除相应分数，扣完为止，具体扣分规则如下：若①至③不符合，则每一点扣30%的权重分；若④至⑤中不符合，则每一点扣20%的权重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该项目依据《自治区对口援疆项目管理（暂行）办法》（新援疆办〔2013〕12号）、《上海市援疆项目管理暂行办法》（沪指文〔2014〕41号）、《莎车县基础教育设施设备提升（“优分优育”计划）项目实施方案的批复》（莎发改〔2025〕320号）设立实施。以习近平新时代中国特色社会主义思想为指导，以铸牢中华民族共同体意识为主线，坚持为党育人、为国育才，全面贯彻党的教育方针，落实立德树人根本任务，发展素质教育，促进教育均衡发展。项目立项符合国家法律法规、国民经济发展规划，符合中共中央、国务院及自治区关于推进教育数字化转型、提升县域教育质量、促进教育均衡发展的相关政策精神，项目立项与部门职责范围相符。根据评分标准，该指标不扣分，得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立项程序规范性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项目申请、设立过程是否符合相关要求，用以反映和考核项目立项的规范情况。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①项目是否按照规定的程序申请设立；②审批文件、材料是否符合相关要求；③事前是否已经过必要的可行性研究、专家论证、风险评估、绩效评估、集体决策。</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项目是否按照规定的程序申请设立；②审批文件、材料是否符合相关要求；③事前是否已经过必要的可行性研究、专家论证、风险评估、绩效评估、集体决策。以上三项中，①至③每项满分1分，每发现一处不符扣0.5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项目根据《自治区对口援疆项目管理（暂行）办法》（新援疆办〔2013〕12号）、《上海市援疆项目管理暂行办法》（沪指文〔2014〕41号）、《莎车县基础教育设施设备提升（“优分优育”计划）项目实施方案的批复》（莎发改〔2025〕320号）文件设立，由莎车县教育局牵头制定《莎车县基础教育设施设备提升（“优分优育”计划）项目实施方案》，明确项目建设目标、实施内容、资金测算、进度安排和保障措施，并按程序逐级上报申请，经同级财政及相关主管部门审核同意后立项实施。项目立项过程中，决策程序合规、无简化程序，项目立项规范，根据评分标准，该指标不扣分，得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绩效目标合理性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项目所设定的绩效目标是否依据充分，是否符合客观实际，用以反映和考核项目绩效目标与项目实施的相符情况。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①项目是否有绩效目标；②项目绩效目标与实际工作内容是否具有相关性；③项目预期产出效益和效果是否符合正常的业绩水平；④是否与预算确定的项目投资额或资金量相匹配。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项目是否有绩效目标；②项目绩效目标与实际工作内容是否具有相关性；③项目预期产出效益和效果是否符合正常的业绩水平；④是否与预算确定的项目投资额或资金量相匹配。以上四项中，若①不符合，则此指标不得分；若①符合，则②③④分别占25%的权重分，符合则得分，否则扣除相应权重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该项目工作任务目标明确，制定了莎车县基础教育设施设备提升（“优分优育”计划）项目实施方案，明确了总体思路及目标、并对任务进行了详细分解，对目标进行了细化，项目设立一级指标四条，二级指标6条，三级指标10条，定量指标9条，量化率达到90%，绩效目标的设置与实际工作内容相关，按照正常的业绩水平设置了预期产出效益和效果。根据评分标准，该指标不扣分，得3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依据绩效目标设定的绩效指标是否清晰、细化、可衡量等，用以反映和考核项目绩效目标的明细化情况。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明确</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①是否将项目绩效目标细化分解为具体的绩效指标；②是否通过清晰、可衡量的指标值予以体现；③是否与项目目标任务数或计划数相对应。</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是否将项目绩效目标细化分解为具体的绩效指标；②绩效目标和指标具备明确性（目标是否指向明确）、可衡量性（可通过清晰、可衡量的指标予以体现）、可实现性（项目预期产出和效果符合正常的业绩水平）、相关性（绩效目标与预算的关联性）、时限性（有明确目标实现时间）。以上两项中，若①不符合，则此指标不得分；若①符合，则②中每小点占20%的权重分，符合则得分，否则扣除相应权重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通过查看该项目《绩效目标申报表》与《项目实施方案》，将项目具体核心内容细化分解为可量化、可考核的绩效指标，指标定义清晰、口径一致，能够全面反映产出和效果，便于开展绩效监控和评价。项目一级指标、二级指标、三级指标层级清晰，定量指标占比合理，量化程度较高，指标设置与项目任务高度契合。根据评分标准，该指标不扣分，得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资金投入（10分）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预算编制科学性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项目预算编制是否经过科学论证、有明确标准，资金额度与年度目标是否相适应，用以反映和考核项目预算编制的科学性、合理性情况。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科学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①预算编制是否经过科学论证；②预算内容与项目内容是否匹配；③预算额度测算依据是否充分，是否按照标准编制；④预算确定的项目投资额或资金量是否与工作任务相匹配。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预算编制是否经过科学论证；②预算内容与项目内容是否匹配；③预算额度测算依据是否充分，是否按照标准编制；④预算确定的项目投资额或资金量是否与工作任务相匹配。以上四项①至④分别占30%、30%、20%和20%的权重分，符合则得分，否则扣除相应权重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通过查看项目预算编制草案，项目资金150万元全部为援疆资金，主要用于莎车县“优分优育”项目建设，包括备授课数字一体化平台服务、数字智能考阅支持服务、高质量作业支持服务、数据分析支持服务及教师培训研讨等内容。预算编制依据充分，严格按照项目实施内容、服务单价及数量进行测算，各项费用测算依据合理、标准合规，无虚列项目、高估冒算等情况，预算编制与项目实际需求高度匹配，测算过程规范、资料完整。根据评分标准，该指标不扣分，得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资金分配合理性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项目预算资金分配是否有测算依据，与补助单位或地方实际是否相适应，用以反映和考核项目预算资金分配的科学性、合理性情况。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①预算资金分配依据是否充分；②资金分配额度是否合理，与项目单位或地方实际是否相适应。</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预算资金分配依据是否充分；②资金分配额度是否合理，与项目单位或地方实际是否相适应。以上两项分别占50%的权重分，符合则得分，否则扣除相应权重的100%、80%、60%、40%和20%的分值，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项目资金150万元全部纳入项目统筹管理，资金分配严格依据测算分配，具体分配为：备授课数字一体化平台服务80万元、数字智能考阅支持服务35万元、高质量作业支持服务20万元、数据分析支持服务15万元。资金分配与项目任务量、工作优先级相匹配，分配方案科学合理，无截留、挤占、挪用风险，资金分配结果经主管部门及财政部门审核确认，程序合规。资金分配与实际相适应，根据评分标准，该指标不扣分，得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过程（20分）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资金管理（15分）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实际到位资金与预算资金的比率，用以反映和考核资金落实情况对项目实施的总体保障程度。</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资金到位率=（实际到位资金/预算资金）×100%。实际到位资金：一定时期（本年度或项目期）内落实到具体项目的资金。预算资金：一定时期（本年度或项目期）内预算安排到具体项目的资金。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到位率=（实际到位资金/预算资金）×100%。项目完成且资金到位数满足年度预算规模需求，得5分；项目尚未完成，资金到位率小于100%且大于等于80%的得2分，资金到位率小于80%且大于等于60%的得1.50分，资金到位率小于60%的不得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该项目预算资金150万元。截至2025年12月31日，资金到位合计150万元。资金到位率=（实际到位资金/预算资金）×100.00%=100%。得分=资金到位率×分值=100%×5=5分。援疆资金足额拨付到位，根据评分标准，该指标不扣分，得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项目预算资金是否按照计划执行，用以反映或考核项目预算执行情况。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预算执行率=（实际支出资金/实际到位资金）×100%。实际支出资金：一定时期（本年度或项目期）内项目实际拨付的资金。</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预算执行率=（实际支出资金/实际到位资金）×100%。得分=权重*预算执行率。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通过查阅单位会计凭证，9月支付设备采购费用74.95万元，11月支付项目服务费用0.39万元，12月支付设备采购费用74.25万元，预算执行率=（实际支出资金/实际到位资金）×100.00%=（149.59/150）×100.00%=99.73%。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4.99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7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资金使用合规性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考察项目单位资金的使用规范程度。项目资金使用是否符合相关法律法规、制度和规定，用以反映和考核项目资金使用的规范性和安全性。</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合规</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是否符合国家财经法规和财务管理制度以及有关专项资金管理办法的规定；②资金的拨付是否有完整的审批程序和手续；③是否符合项目预算批复或合同规定的用途；④是否存在截留、挤占、挪用、虚列支出等情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是否符合国家财经法规和财务管理制度以及有关专项资金管理办法的规定；②是否符合项目预算批复或合同规定的用途；③是否存在截留、挤占、挪用、虚列支出等情况；④资金的拨付是否有完整的审批程序和手续。以上四项分别占25%的权重分，不满足①或②或③时属于严重违规事项，本项指标不得分，在符合①、②和③的条件下，其他各项符合则得分，否则扣除相应权重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通过查看该项目签订的合同、资金申请文件、发票等财务付款凭证，得出该项目的资金支出符合国家财经法规、《政府会计制度》以及《莎车县教育局资金管理办法》《莎车县教育局专项资金管理办法》，资金的拨付有完整的审批程序和手续，资金实际使用方向与预算批复用途一致，不存在截留、挤占、挪用、虚列支出的情况。根据评分标准，该指标不扣分，得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组织实施（5分）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管理制度健全性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项目实施单位的财务和业务管理制度是否健全，用以反映和考核财务和业务管理制度对项目顺利实施的保障情况。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健全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①是否已制定或具有相应的财务和业务管理制度；②财务和业务管理制度是否合法、合规、完整。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是否已制定或具有相应的财务和业务管理制度；②财务和业务管理制度是否合法、合规、完整。以上两项分别占50%的权重分，符合则得分，否则扣除相应权重的100%、80%、60%、40%和20%的分值，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莎车县教育局已制定《莎车县教育局资金管理办法》《莎车县教育局收支业务管理制度》《莎车县教育局采购业务管理制度》《莎车县教育局合同管理制度》，该项目执行符合上述制度规定，对财政专项资金进行严格管理，做到了专款专用，根据评分标准，该指标不扣分，得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制度执行有效性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项目实施是否符合相关管理规定，用以反映和考核相关管理制度的有效执行情况。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①是否遵守相关法律法规和相关管理规定；②项目调整及支出调整手续是否完备；③项目合同书、验收报告、技术鉴定等资料是否齐全并及时归档；④项目实施的人员条件、场地设备、信息支撑等是否落实到位。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评价要点：①是否遵守相关法律法规和相关管理规定；②项目调整及支出调整手续是否完备合理；③项目合同书、验收报告、技术鉴定等资料是否齐全并及时归档；④项目实施的人员条件、场地设备、信息支撑等是否落实到位。以上四项中，①至④分别占25%的权重分，各项符合则得分，否则扣除相应权重的100%、80%、60%、40%和20%的分值，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莎车县教育局严格按照资金管理办法和莎车县基础教育设施设备提升（“优分优育”计划）项目实施推进项目资金审核，资金使用合规。但验收管理存在瑕疵，验收单未注明完工时间、验收报告未体现项目竣工时间，不符合项目验收流程规范；项目预算资金150万元，软件合同总价149.90万元，项目投资监理合同0.78万元，两项合计150.68万元，合同总价超出项目预算。根据评分标准，该指标扣1.5分，得1.5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产出（40分）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产出数量（10分）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考察项目计划任务完成情况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sz w:val="16"/>
                <w:szCs w:val="16"/>
                <w:u w:val="none"/>
                <w:lang w:val="en-US" w:eastAsia="zh-CN"/>
              </w:rPr>
              <w:t>1.</w:t>
            </w:r>
            <w:r>
              <w:rPr>
                <w:rFonts w:hint="eastAsia" w:ascii="宋体" w:hAnsi="宋体" w:eastAsia="宋体" w:cs="宋体"/>
                <w:i w:val="0"/>
                <w:iCs w:val="0"/>
                <w:color w:val="000000"/>
                <w:sz w:val="16"/>
                <w:szCs w:val="16"/>
                <w:u w:val="none"/>
              </w:rPr>
              <w:t>引入智慧教育软件服务，预期目标是等于1批</w:t>
            </w:r>
          </w:p>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kern w:val="0"/>
                <w:sz w:val="16"/>
                <w:szCs w:val="16"/>
                <w:u w:val="none"/>
                <w:lang w:val="en-US" w:eastAsia="zh-CN" w:bidi="ar"/>
              </w:rPr>
              <w:t>2.</w:t>
            </w:r>
            <w:r>
              <w:rPr>
                <w:rFonts w:hint="default" w:ascii="宋体" w:hAnsi="宋体" w:eastAsia="宋体" w:cs="宋体"/>
                <w:i w:val="0"/>
                <w:iCs w:val="0"/>
                <w:color w:val="000000"/>
                <w:kern w:val="0"/>
                <w:sz w:val="16"/>
                <w:szCs w:val="16"/>
                <w:u w:val="none"/>
                <w:lang w:val="en-US" w:eastAsia="zh-CN" w:bidi="ar"/>
              </w:rPr>
              <w:t>涵盖学校数量，预期目标大于等于8所</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率=（实际产出数/计划产出数）×100%。实际产出数：一定时期（本年度或项目期）内项目实际产出的产品或提供的服务数量。计划产出数：项目绩效目标确定的在一定时期（本年度或项目期）内计划产出的产品或提供的服务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引入智慧教育软件服务，预期目标是等于1批，通过查看采购合同和验收单资料，该指标实际完成1批，指标完成率100%。所设分值为5分，实际得分为5分。</w:t>
            </w:r>
          </w:p>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涵盖学校数量，预期目标大于等于8所，通过查看莎车县“优分优育”项目账号开通情况统计表，该指标实际完成8所，指标完成率100%。所设分值为5分，实际得分为5分。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1"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产出质量（10分）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质量达标率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考察项目计划品质控制完成情况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kern w:val="0"/>
                <w:sz w:val="16"/>
                <w:szCs w:val="16"/>
                <w:u w:val="none"/>
                <w:lang w:val="en-US" w:eastAsia="zh-CN" w:bidi="ar"/>
              </w:rPr>
              <w:t>智慧教育软件应用率，预期目标等于100%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达标率=（质量达标产出数/实际产出数）×100%。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智慧教育软件应用率，预期目标等于100%，通过查看莎车县基础教育设施设备提升（“优分优育”计划）项目工程竣工验收报告，验收合格，实际完成100%，指标完成率100%。所设分值为10分，实际得分为10分。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产出时效（10分）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完成及时性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考察项目是否按照计划时间完成</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kern w:val="0"/>
                <w:sz w:val="16"/>
                <w:szCs w:val="16"/>
                <w:u w:val="none"/>
                <w:lang w:val="en-US" w:eastAsia="zh-CN" w:bidi="ar"/>
              </w:rPr>
              <w:t>各类平台搭建完成及时率，预期目标等于2025年12月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实际完成时间：项目实施单位完成该项目实际所耗用的时间。计划完成时间：按照项目实施计划或相关规定完成该项目所需的时间。</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项目在计划时间内完成得满分，否则得0分。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各类平台搭建完成及时率，预期目标等于2025年12月，通过查看莎车县基础教育设施设备提升（“优分优育”计划）项目工程竣工验收报告，完工时间为2025年12月，实际完成100%，指标完成率100%。所设分值为10分，实际得分为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产出成本（10分）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成本节约率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考察项目成本执行情况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备授课数字一体化平台服务费，预期目标是小于等于80万元；</w:t>
            </w:r>
          </w:p>
          <w:p>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i w:val="0"/>
                <w:iCs w:val="0"/>
                <w:color w:val="000000"/>
                <w:kern w:val="0"/>
                <w:sz w:val="16"/>
                <w:szCs w:val="16"/>
                <w:u w:val="none"/>
                <w:lang w:val="en-US" w:eastAsia="zh-CN" w:bidi="ar"/>
              </w:rPr>
            </w:pPr>
            <w:r>
              <w:rPr>
                <w:rFonts w:hint="eastAsia" w:ascii="宋体" w:hAnsi="宋体" w:eastAsia="宋体" w:cs="宋体"/>
                <w:b w:val="0"/>
                <w:i w:val="0"/>
                <w:iCs w:val="0"/>
                <w:color w:val="000000"/>
                <w:kern w:val="0"/>
                <w:sz w:val="16"/>
                <w:szCs w:val="16"/>
                <w:u w:val="none"/>
                <w:lang w:val="en-US" w:eastAsia="zh-CN" w:bidi="ar"/>
              </w:rPr>
              <w:t>数字智能考阅支持服务费，预期目标是小于等于35万元；高质量作业支持服务费，预期目标是小于等于20万元；</w:t>
            </w:r>
          </w:p>
          <w:p>
            <w:pPr>
              <w:keepNext w:val="0"/>
              <w:keepLines w:val="0"/>
              <w:suppressLineNumbers w:val="0"/>
              <w:spacing w:before="0" w:beforeAutospacing="0" w:after="0" w:afterAutospacing="0"/>
              <w:ind w:left="0" w:right="0" w:firstLine="0" w:firstLineChars="0"/>
              <w:jc w:val="center"/>
              <w:rPr>
                <w:rFonts w:hint="eastAsia" w:ascii="宋体" w:hAnsi="宋体" w:eastAsia="宋体" w:cs="宋体"/>
                <w:b w:val="0"/>
                <w:i w:val="0"/>
                <w:iCs w:val="0"/>
                <w:color w:val="000000"/>
                <w:kern w:val="0"/>
                <w:sz w:val="16"/>
                <w:szCs w:val="16"/>
                <w:u w:val="none"/>
                <w:lang w:val="en-US" w:eastAsia="zh-CN" w:bidi="ar"/>
              </w:rPr>
            </w:pPr>
            <w:r>
              <w:rPr>
                <w:rFonts w:hint="eastAsia" w:ascii="宋体" w:hAnsi="宋体" w:eastAsia="宋体" w:cs="宋体"/>
                <w:b w:val="0"/>
                <w:i w:val="0"/>
                <w:iCs w:val="0"/>
                <w:color w:val="000000"/>
                <w:kern w:val="0"/>
                <w:sz w:val="16"/>
                <w:szCs w:val="16"/>
                <w:u w:val="none"/>
                <w:lang w:val="en-US" w:eastAsia="zh-CN" w:bidi="ar"/>
              </w:rPr>
              <w:t>数据分析支持服务费，预期目标是小于等于15万元。</w:t>
            </w:r>
          </w:p>
          <w:p>
            <w:pPr>
              <w:keepNext w:val="0"/>
              <w:keepLines w:val="0"/>
              <w:widowControl w:val="0"/>
              <w:suppressLineNumbers w:val="0"/>
              <w:shd w:val="clear" w:color="auto" w:fill="FFFFFF"/>
              <w:spacing w:before="0" w:beforeAutospacing="0" w:after="0" w:afterAutospacing="0" w:line="595" w:lineRule="exact"/>
              <w:ind w:left="0" w:right="0" w:firstLine="400" w:firstLineChars="200"/>
              <w:jc w:val="distribute"/>
              <w:rPr>
                <w:rFonts w:hint="default" w:ascii="仿宋_GB2312" w:hAnsi="仿宋_GB2312" w:eastAsia="仿宋_GB2312" w:cs="仿宋_GB2312"/>
                <w:kern w:val="2"/>
                <w:sz w:val="20"/>
                <w:szCs w:val="20"/>
                <w:lang w:val="en-US" w:eastAsia="zh-CN" w:bidi="zh-CN"/>
              </w:rPr>
            </w:pPr>
          </w:p>
          <w:p>
            <w:pPr>
              <w:pStyle w:val="7"/>
              <w:suppressLineNumbers w:val="0"/>
              <w:ind w:left="0" w:right="0"/>
              <w:outlineLvl w:val="9"/>
              <w:rPr>
                <w:rFonts w:hint="default"/>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节约率=[（计划成本-实际成本）/计划成本]×100%。实际成本：项目实施单位如期、保质、保量完成既定工作目标实际所耗费的支出。计划成本：项目实施单位为完成工作目标计划安排的支出，一般以项目预算为参考。</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备授课数字一体化平台服务费，预期目标是小于等于80万元，通过查看莎车县基础教育设施设备提升（“优分优育”计划）项目国库集中支付凭证和支付进度表，实际完成79.59万元，指标完成率99.49%。所设分值为4分，实际得分为3.98分。</w:t>
            </w:r>
          </w:p>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字智能考阅支持服务费，预期目标是小于等于35万元，实际完成35万元，通过查看莎车县基础教育设施设备提升（“优分优育”计划）项目国库集中支付凭证和支付进度表，指标完成率100%。所设分值为2分，实际得分为2分。</w:t>
            </w:r>
          </w:p>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高质量作业支持服务费，预期目标是小于等于20万元，通过查看莎车县基础教育设施设备提升（“优分优育”计划）项目国库集中支付凭证和支付进度表，实际完成20万元，指标完成率100%。所设分值为2分，实际得分为2分。</w:t>
            </w:r>
          </w:p>
          <w:p>
            <w:pPr>
              <w:keepNext w:val="0"/>
              <w:keepLines w:val="0"/>
              <w:widowControl/>
              <w:suppressLineNumbers w:val="0"/>
              <w:spacing w:before="0" w:beforeAutospacing="0" w:after="0" w:afterAutospacing="0"/>
              <w:ind w:left="0" w:right="0" w:firstLine="0" w:firstLineChars="0"/>
              <w:jc w:val="both"/>
              <w:textAlignment w:val="center"/>
              <w:rPr>
                <w:rFonts w:hint="eastAsia"/>
                <w:lang w:val="en-US" w:eastAsia="zh-CN"/>
              </w:rPr>
            </w:pPr>
            <w:r>
              <w:rPr>
                <w:rFonts w:hint="eastAsia" w:ascii="宋体" w:hAnsi="宋体" w:eastAsia="宋体" w:cs="宋体"/>
                <w:i w:val="0"/>
                <w:iCs w:val="0"/>
                <w:color w:val="000000"/>
                <w:kern w:val="0"/>
                <w:sz w:val="16"/>
                <w:szCs w:val="16"/>
                <w:u w:val="none"/>
                <w:lang w:val="en-US" w:eastAsia="zh-CN" w:bidi="ar"/>
              </w:rPr>
              <w:t>数据分析支持服务费，预期目标是小于等于15万元，通过查看莎车县基础教育设施设备提升（“优分优育”计划）项目国库集中支付凭证和支付进度表，实际完成15万元，指标完成率100%。所设分值为2分，实际得分为2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9.98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效益（20分）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项目效益（20分）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实施效益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考察项目对社会、经济及生态环境的影响</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kern w:val="0"/>
                <w:sz w:val="16"/>
                <w:szCs w:val="16"/>
                <w:u w:val="none"/>
                <w:lang w:val="en-US" w:eastAsia="zh-CN" w:bidi="ar"/>
              </w:rPr>
              <w:t>提升学校教学质量，预期目标是有效提升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项目实施所产生的社会效益、经济效益、生态效益、可持续影响等。可根据项目实际情况有选择地设置和细化。</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①实际完成值大于等于目标值，且偏离程度小于20%，得满分；②实际完成值大于等于目标值，偏离程度大于等于20%，得0分；③实际完成值小于目标值，得分=实际完成值/目标值*分值；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提升学校教学质量，预期目标是有效提升，从项目完成的效果、满意度方面进行考察。依据满意度调查问卷资料，实际完成有效提升，指标完成率100%。所设分值为10分，实际得分为10分。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考察项目受益对象满意情况</w:t>
            </w:r>
          </w:p>
        </w:tc>
        <w:tc>
          <w:tcPr>
            <w:tcW w:w="11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suppressLineNumbers w:val="0"/>
              <w:spacing w:before="0" w:beforeAutospacing="0" w:after="0" w:afterAutospacing="0"/>
              <w:ind w:left="0" w:right="0" w:firstLine="0" w:firstLineChars="0"/>
              <w:jc w:val="center"/>
              <w:rPr>
                <w:rFonts w:hint="default" w:ascii="宋体" w:hAnsi="宋体" w:eastAsia="宋体" w:cs="宋体"/>
                <w:i w:val="0"/>
                <w:iCs w:val="0"/>
                <w:color w:val="000000"/>
                <w:sz w:val="16"/>
                <w:szCs w:val="16"/>
                <w:u w:val="none"/>
                <w:lang w:val="en-US" w:eastAsia="zh-CN"/>
              </w:rPr>
            </w:pPr>
            <w:r>
              <w:rPr>
                <w:rFonts w:hint="eastAsia" w:ascii="宋体" w:hAnsi="宋体" w:eastAsia="宋体" w:cs="宋体"/>
                <w:i w:val="0"/>
                <w:iCs w:val="0"/>
                <w:color w:val="000000"/>
                <w:sz w:val="16"/>
                <w:szCs w:val="16"/>
                <w:u w:val="none"/>
              </w:rPr>
              <w:t>受益师生满意度，预期目标是大于等于95%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社会公众或服务对象是指因该项目实施而受到影响的部门（单位）、群体或个人。一般采取社会调查的方式。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根据满意度问卷统计情况计算完成比率，实际完成值=∑样本数（“非常满意”×1.0+“较为满意”×0.8+“一般满意”×0.6+“较不满意”×0.3+“不满意”×0）/总样本数×100.00%；①实际完成值大于等于95.00%，得10.00分；②实际完成值小于95.00%且大于等于80.00%，得8.00分；③实际完成值小于80.00%大于等于60.00%，得5.00分。④实际完成值小于60.00%，不得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受益师生满意度，预期目标是大于等于95%，评价组发放40份满意度调查问卷，收回40份，其中38人表示满意，实际完成95%，指标完成率100%。所设分值为10分，实际得分为10分。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8" w:hRule="atLeast"/>
        </w:trPr>
        <w:tc>
          <w:tcPr>
            <w:tcW w:w="3490"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9699"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宋体" w:hAnsi="宋体" w:eastAsia="宋体" w:cs="宋体"/>
                <w:i w:val="0"/>
                <w:iCs w:val="0"/>
                <w:color w:val="000000"/>
                <w:kern w:val="0"/>
                <w:sz w:val="16"/>
                <w:szCs w:val="16"/>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98.47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pacing w:before="0" w:beforeAutospacing="0" w:after="0" w:afterAutospacing="0"/>
              <w:ind w:left="0" w:right="0" w:firstLine="0" w:firstLineChars="0"/>
              <w:jc w:val="both"/>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98.47%</w:t>
            </w:r>
          </w:p>
        </w:tc>
      </w:tr>
    </w:tbl>
    <w:p>
      <w:pPr>
        <w:pStyle w:val="2"/>
        <w:ind w:left="0" w:leftChars="0" w:firstLine="0" w:firstLineChars="0"/>
        <w:rPr>
          <w:rFonts w:hint="default"/>
          <w:lang w:val="en-US" w:eastAsia="zh-CN"/>
        </w:rPr>
        <w:sectPr>
          <w:footerReference r:id="rId8" w:type="default"/>
          <w:pgSz w:w="16838" w:h="11906" w:orient="landscape"/>
          <w:pgMar w:top="1800" w:right="1440" w:bottom="1800" w:left="1440" w:header="851" w:footer="992" w:gutter="0"/>
          <w:pgNumType w:fmt="decimal"/>
          <w:cols w:space="425" w:num="1"/>
          <w:docGrid w:type="lines" w:linePitch="312" w:charSpace="0"/>
        </w:sectPr>
      </w:pPr>
    </w:p>
    <w:p>
      <w:pPr>
        <w:pStyle w:val="4"/>
        <w:outlineLvl w:val="0"/>
        <w:rPr>
          <w:rFonts w:hint="eastAsia" w:ascii="方正仿宋_GBK" w:hAnsi="方正仿宋_GBK" w:eastAsia="方正仿宋_GBK" w:cs="方正仿宋_GBK"/>
          <w:b/>
          <w:bCs/>
          <w:sz w:val="32"/>
          <w:szCs w:val="32"/>
          <w:lang w:val="en-US" w:eastAsia="zh-CN"/>
        </w:rPr>
      </w:pPr>
      <w:bookmarkStart w:id="330" w:name="_Toc20747"/>
      <w:r>
        <w:rPr>
          <w:rFonts w:hint="eastAsia" w:ascii="方正仿宋_GBK" w:hAnsi="方正仿宋_GBK" w:eastAsia="方正仿宋_GBK" w:cs="方正仿宋_GBK"/>
          <w:b/>
          <w:bCs/>
          <w:sz w:val="32"/>
          <w:szCs w:val="32"/>
          <w:lang w:val="en-US" w:eastAsia="zh-CN"/>
        </w:rPr>
        <w:t>附件2：莎车县基础教育设施设备提升（“优分优育”计划）项目基础信息采集表</w:t>
      </w:r>
      <w:bookmarkEnd w:id="330"/>
    </w:p>
    <w:p>
      <w:pPr>
        <w:pStyle w:val="4"/>
        <w:rPr>
          <w:rFonts w:hint="default"/>
          <w:lang w:val="en-US" w:eastAsia="zh-CN"/>
        </w:rPr>
      </w:pPr>
      <w:r>
        <w:rPr>
          <w:rFonts w:hint="default"/>
          <w:lang w:val="en-US" w:eastAsia="zh-CN"/>
        </w:rPr>
        <w:drawing>
          <wp:inline distT="0" distB="0" distL="114300" distR="114300">
            <wp:extent cx="5273040" cy="7233920"/>
            <wp:effectExtent l="0" t="0" r="3810" b="5080"/>
            <wp:docPr id="1" name="图片 1" descr="教育局基础信息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教育局基础信息表"/>
                    <pic:cNvPicPr>
                      <a:picLocks noChangeAspect="1"/>
                    </pic:cNvPicPr>
                  </pic:nvPicPr>
                  <pic:blipFill>
                    <a:blip r:embed="rId13"/>
                    <a:stretch>
                      <a:fillRect/>
                    </a:stretch>
                  </pic:blipFill>
                  <pic:spPr>
                    <a:xfrm>
                      <a:off x="0" y="0"/>
                      <a:ext cx="5273040" cy="7233920"/>
                    </a:xfrm>
                    <a:prstGeom prst="rect">
                      <a:avLst/>
                    </a:prstGeom>
                  </pic:spPr>
                </pic:pic>
              </a:graphicData>
            </a:graphic>
          </wp:inline>
        </w:drawing>
      </w:r>
    </w:p>
    <w:p>
      <w:pPr>
        <w:rPr>
          <w:rFonts w:hint="default"/>
          <w:lang w:val="en-US" w:eastAsia="zh-CN"/>
        </w:rPr>
      </w:pPr>
    </w:p>
    <w:p>
      <w:pPr>
        <w:pStyle w:val="2"/>
        <w:rPr>
          <w:rFonts w:hint="default"/>
          <w:lang w:val="en-US" w:eastAsia="zh-CN"/>
        </w:rPr>
      </w:pPr>
    </w:p>
    <w:p>
      <w:pPr>
        <w:pStyle w:val="4"/>
        <w:rPr>
          <w:rFonts w:hint="default"/>
          <w:lang w:val="en-US" w:eastAsia="zh-CN"/>
        </w:rPr>
      </w:pPr>
    </w:p>
    <w:p>
      <w:pPr>
        <w:pStyle w:val="4"/>
        <w:ind w:left="0" w:leftChars="0" w:firstLine="0" w:firstLineChars="0"/>
        <w:outlineLvl w:val="0"/>
        <w:rPr>
          <w:rFonts w:hint="eastAsia" w:ascii="方正仿宋_GBK" w:hAnsi="方正仿宋_GBK" w:eastAsia="方正仿宋_GBK" w:cs="方正仿宋_GBK"/>
          <w:b/>
          <w:bCs/>
          <w:sz w:val="32"/>
          <w:szCs w:val="32"/>
          <w:lang w:val="en-US" w:eastAsia="zh-CN"/>
        </w:rPr>
      </w:pPr>
      <w:bookmarkStart w:id="331" w:name="_Toc8395"/>
      <w:r>
        <w:rPr>
          <w:rFonts w:hint="eastAsia" w:ascii="方正仿宋_GBK" w:hAnsi="方正仿宋_GBK" w:eastAsia="方正仿宋_GBK" w:cs="方正仿宋_GBK"/>
          <w:b/>
          <w:bCs/>
          <w:sz w:val="32"/>
          <w:szCs w:val="32"/>
          <w:lang w:val="en-US" w:eastAsia="zh-CN"/>
        </w:rPr>
        <w:t>附件3：访谈记录</w:t>
      </w:r>
      <w:bookmarkEnd w:id="331"/>
    </w:p>
    <w:p>
      <w:pPr>
        <w:pStyle w:val="2"/>
        <w:spacing w:line="240" w:lineRule="auto"/>
        <w:rPr>
          <w:rFonts w:hint="default"/>
          <w:lang w:val="en-US" w:eastAsia="zh-CN"/>
        </w:rPr>
      </w:pPr>
      <w:r>
        <w:rPr>
          <w:rFonts w:hint="default"/>
          <w:lang w:val="en-US" w:eastAsia="zh-CN"/>
        </w:rPr>
        <w:drawing>
          <wp:inline distT="0" distB="0" distL="114300" distR="114300">
            <wp:extent cx="5267960" cy="7140575"/>
            <wp:effectExtent l="0" t="0" r="8890" b="3175"/>
            <wp:docPr id="3" name="图片 3" descr="访谈记录教育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访谈记录教育局"/>
                    <pic:cNvPicPr>
                      <a:picLocks noChangeAspect="1"/>
                    </pic:cNvPicPr>
                  </pic:nvPicPr>
                  <pic:blipFill>
                    <a:blip r:embed="rId14"/>
                    <a:stretch>
                      <a:fillRect/>
                    </a:stretch>
                  </pic:blipFill>
                  <pic:spPr>
                    <a:xfrm>
                      <a:off x="0" y="0"/>
                      <a:ext cx="5267960" cy="7140575"/>
                    </a:xfrm>
                    <a:prstGeom prst="rect">
                      <a:avLst/>
                    </a:prstGeom>
                  </pic:spPr>
                </pic:pic>
              </a:graphicData>
            </a:graphic>
          </wp:inline>
        </w:drawing>
      </w: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ind w:left="0" w:leftChars="0" w:firstLine="0" w:firstLineChars="0"/>
        <w:outlineLvl w:val="0"/>
        <w:rPr>
          <w:rFonts w:hint="eastAsia" w:ascii="方正仿宋_GBK" w:hAnsi="方正仿宋_GBK" w:eastAsia="方正仿宋_GBK" w:cs="方正仿宋_GBK"/>
          <w:b/>
          <w:bCs/>
          <w:lang w:val="en-US" w:eastAsia="zh-CN"/>
        </w:rPr>
      </w:pPr>
      <w:bookmarkStart w:id="332" w:name="_Toc20421"/>
      <w:r>
        <w:rPr>
          <w:rFonts w:hint="eastAsia" w:ascii="方正仿宋_GBK" w:hAnsi="方正仿宋_GBK" w:eastAsia="方正仿宋_GBK" w:cs="方正仿宋_GBK"/>
          <w:b/>
          <w:bCs/>
          <w:lang w:val="en-US" w:eastAsia="zh-CN"/>
        </w:rPr>
        <w:t>附件4：财政局绩效评价报告确认单</w:t>
      </w:r>
      <w:bookmarkEnd w:id="332"/>
    </w:p>
    <w:p>
      <w:pPr>
        <w:pStyle w:val="2"/>
        <w:spacing w:line="240" w:lineRule="auto"/>
        <w:rPr>
          <w:rFonts w:hint="default"/>
          <w:lang w:val="en-US" w:eastAsia="zh-CN"/>
        </w:rPr>
      </w:pPr>
      <w:r>
        <w:rPr>
          <w:rFonts w:hint="default"/>
          <w:lang w:val="en-US" w:eastAsia="zh-CN"/>
        </w:rPr>
        <w:drawing>
          <wp:inline distT="0" distB="0" distL="114300" distR="114300">
            <wp:extent cx="5271135" cy="7228205"/>
            <wp:effectExtent l="0" t="0" r="1905" b="10795"/>
            <wp:docPr id="10" name="图片 10" descr="莎车县基础教育设施设备提升（“优分优育”计划）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莎车县基础教育设施设备提升（“优分优育”计划）项目_02"/>
                    <pic:cNvPicPr>
                      <a:picLocks noChangeAspect="1"/>
                    </pic:cNvPicPr>
                  </pic:nvPicPr>
                  <pic:blipFill>
                    <a:blip r:embed="rId15"/>
                    <a:stretch>
                      <a:fillRect/>
                    </a:stretch>
                  </pic:blipFill>
                  <pic:spPr>
                    <a:xfrm>
                      <a:off x="0" y="0"/>
                      <a:ext cx="5271135" cy="7228205"/>
                    </a:xfrm>
                    <a:prstGeom prst="rect">
                      <a:avLst/>
                    </a:prstGeom>
                  </pic:spPr>
                </pic:pic>
              </a:graphicData>
            </a:graphic>
          </wp:inline>
        </w:drawing>
      </w:r>
    </w:p>
    <w:p>
      <w:pPr>
        <w:pStyle w:val="4"/>
        <w:rPr>
          <w:rFonts w:hint="default"/>
          <w:lang w:val="en-US" w:eastAsia="zh-CN"/>
        </w:rPr>
      </w:pPr>
    </w:p>
    <w:p>
      <w:pPr>
        <w:rPr>
          <w:rFonts w:hint="default"/>
          <w:lang w:val="en-US" w:eastAsia="zh-CN"/>
        </w:rPr>
      </w:pPr>
    </w:p>
    <w:p>
      <w:pPr>
        <w:ind w:left="0" w:leftChars="0" w:firstLine="0" w:firstLineChars="0"/>
        <w:outlineLvl w:val="0"/>
        <w:rPr>
          <w:rFonts w:hint="eastAsia" w:ascii="方正仿宋_GBK" w:hAnsi="方正仿宋_GBK" w:eastAsia="方正仿宋_GBK" w:cs="方正仿宋_GBK"/>
          <w:b/>
          <w:bCs/>
          <w:sz w:val="32"/>
          <w:szCs w:val="32"/>
          <w:lang w:val="en-US" w:eastAsia="zh-CN"/>
        </w:rPr>
      </w:pPr>
      <w:bookmarkStart w:id="333" w:name="_Toc5843"/>
    </w:p>
    <w:p>
      <w:pPr>
        <w:ind w:left="0" w:leftChars="0" w:firstLine="0" w:firstLineChars="0"/>
        <w:outlineLvl w:val="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附件5：预算单位绩效评价报告确认单</w:t>
      </w:r>
      <w:bookmarkEnd w:id="333"/>
    </w:p>
    <w:p>
      <w:pPr>
        <w:pStyle w:val="2"/>
        <w:spacing w:line="240" w:lineRule="auto"/>
        <w:rPr>
          <w:rFonts w:hint="default"/>
          <w:lang w:val="en-US" w:eastAsia="zh-CN"/>
        </w:rPr>
      </w:pPr>
      <w:r>
        <w:rPr>
          <w:rFonts w:hint="default"/>
          <w:lang w:val="en-US" w:eastAsia="zh-CN"/>
        </w:rPr>
        <w:drawing>
          <wp:inline distT="0" distB="0" distL="114300" distR="114300">
            <wp:extent cx="5271135" cy="7237730"/>
            <wp:effectExtent l="0" t="0" r="1905" b="1270"/>
            <wp:docPr id="11" name="图片 11" descr="莎车县基础教育设施设备提升（“优分优育”计划）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莎车县基础教育设施设备提升（“优分优育”计划）项目_01"/>
                    <pic:cNvPicPr>
                      <a:picLocks noChangeAspect="1"/>
                    </pic:cNvPicPr>
                  </pic:nvPicPr>
                  <pic:blipFill>
                    <a:blip r:embed="rId16"/>
                    <a:stretch>
                      <a:fillRect/>
                    </a:stretch>
                  </pic:blipFill>
                  <pic:spPr>
                    <a:xfrm>
                      <a:off x="0" y="0"/>
                      <a:ext cx="5271135" cy="7237730"/>
                    </a:xfrm>
                    <a:prstGeom prst="rect">
                      <a:avLst/>
                    </a:prstGeom>
                  </pic:spPr>
                </pic:pic>
              </a:graphicData>
            </a:graphic>
          </wp:inline>
        </w:drawing>
      </w:r>
    </w:p>
    <w:p>
      <w:pPr>
        <w:pStyle w:val="4"/>
        <w:rPr>
          <w:rFonts w:hint="default"/>
          <w:lang w:val="en-US" w:eastAsia="zh-CN"/>
        </w:rPr>
      </w:pPr>
    </w:p>
    <w:p>
      <w:pPr>
        <w:rPr>
          <w:rFonts w:hint="default"/>
          <w:lang w:val="en-US" w:eastAsia="zh-CN"/>
        </w:rPr>
      </w:pPr>
    </w:p>
    <w:p>
      <w:pPr>
        <w:pStyle w:val="2"/>
        <w:rPr>
          <w:rFonts w:hint="default"/>
          <w:lang w:val="en-US" w:eastAsia="zh-CN"/>
        </w:rPr>
      </w:pPr>
    </w:p>
    <w:p>
      <w:pPr>
        <w:spacing w:line="560" w:lineRule="exact"/>
        <w:ind w:left="0" w:leftChars="0" w:firstLine="0" w:firstLineChars="0"/>
        <w:jc w:val="both"/>
        <w:outlineLvl w:val="0"/>
        <w:rPr>
          <w:rFonts w:hint="eastAsia" w:ascii="方正仿宋_GBK" w:hAnsi="方正仿宋_GBK" w:eastAsia="方正仿宋_GBK" w:cs="方正仿宋_GBK"/>
          <w:b/>
          <w:bCs/>
          <w:color w:val="auto"/>
          <w:sz w:val="32"/>
          <w:szCs w:val="32"/>
        </w:rPr>
      </w:pPr>
      <w:bookmarkStart w:id="334" w:name="_Toc31140"/>
      <w:bookmarkStart w:id="335" w:name="_Toc8535"/>
      <w:bookmarkStart w:id="336" w:name="_Toc20112"/>
      <w:r>
        <w:rPr>
          <w:rFonts w:hint="eastAsia" w:ascii="方正仿宋_GBK" w:hAnsi="方正仿宋_GBK" w:eastAsia="方正仿宋_GBK" w:cs="方正仿宋_GBK"/>
          <w:b/>
          <w:bCs/>
          <w:color w:val="auto"/>
          <w:sz w:val="32"/>
          <w:szCs w:val="32"/>
        </w:rPr>
        <w:t>附件6：调查问卷结果分析报告及调查问卷样表</w:t>
      </w:r>
      <w:bookmarkEnd w:id="334"/>
    </w:p>
    <w:p>
      <w:pPr>
        <w:spacing w:line="560" w:lineRule="exact"/>
        <w:ind w:left="0" w:leftChars="0" w:firstLine="0" w:firstLineChars="0"/>
        <w:jc w:val="center"/>
        <w:outlineLvl w:val="9"/>
        <w:rPr>
          <w:rFonts w:hint="eastAsia" w:ascii="宋体" w:hAnsi="宋体" w:eastAsia="仿宋_GB2312" w:cs="宋体"/>
          <w:b/>
          <w:bCs/>
          <w:color w:val="auto"/>
          <w:sz w:val="44"/>
          <w:szCs w:val="44"/>
        </w:rPr>
      </w:pPr>
    </w:p>
    <w:p>
      <w:pPr>
        <w:spacing w:line="560" w:lineRule="exact"/>
        <w:ind w:left="0" w:leftChars="0" w:firstLine="0" w:firstLineChars="0"/>
        <w:jc w:val="center"/>
        <w:outlineLvl w:val="0"/>
        <w:rPr>
          <w:rFonts w:hint="eastAsia" w:ascii="宋体" w:hAnsi="宋体" w:eastAsia="仿宋_GB2312" w:cs="宋体"/>
          <w:b/>
          <w:bCs/>
          <w:color w:val="auto"/>
          <w:sz w:val="44"/>
          <w:szCs w:val="44"/>
        </w:rPr>
      </w:pPr>
      <w:bookmarkStart w:id="337" w:name="_Toc19825"/>
      <w:r>
        <w:rPr>
          <w:rFonts w:hint="eastAsia" w:ascii="宋体" w:hAnsi="宋体" w:eastAsia="仿宋_GB2312" w:cs="宋体"/>
          <w:b/>
          <w:bCs/>
          <w:color w:val="auto"/>
          <w:sz w:val="44"/>
          <w:szCs w:val="44"/>
        </w:rPr>
        <w:t>莎车县基础教育设施设备提升（“优分优育”计划）项目满意度调查问卷分析报告</w:t>
      </w:r>
      <w:bookmarkEnd w:id="335"/>
      <w:bookmarkEnd w:id="336"/>
      <w:bookmarkEnd w:id="337"/>
    </w:p>
    <w:p>
      <w:pPr>
        <w:spacing w:line="560" w:lineRule="exact"/>
        <w:ind w:firstLine="640" w:firstLineChars="200"/>
        <w:jc w:val="center"/>
        <w:rPr>
          <w:rFonts w:hint="eastAsia" w:ascii="方正仿宋_GBK" w:hAnsi="方正仿宋_GBK" w:eastAsia="方正仿宋_GBK" w:cs="方正仿宋_GBK"/>
          <w:color w:val="auto"/>
          <w:sz w:val="32"/>
          <w:szCs w:val="32"/>
        </w:rPr>
      </w:pPr>
    </w:p>
    <w:p>
      <w:pPr>
        <w:spacing w:line="560" w:lineRule="exact"/>
        <w:ind w:firstLine="640" w:firstLineChars="200"/>
        <w:outlineLvl w:val="0"/>
        <w:rPr>
          <w:rFonts w:hint="eastAsia" w:ascii="黑体" w:hAnsi="黑体" w:eastAsia="黑体" w:cs="黑体"/>
          <w:color w:val="auto"/>
          <w:sz w:val="32"/>
          <w:szCs w:val="32"/>
        </w:rPr>
      </w:pPr>
      <w:bookmarkStart w:id="338" w:name="_Toc12480"/>
      <w:bookmarkStart w:id="339" w:name="_Toc31914"/>
      <w:bookmarkStart w:id="340" w:name="_Toc25809"/>
      <w:r>
        <w:rPr>
          <w:rFonts w:hint="eastAsia" w:ascii="黑体" w:hAnsi="黑体" w:eastAsia="黑体" w:cs="黑体"/>
          <w:color w:val="auto"/>
          <w:sz w:val="32"/>
          <w:szCs w:val="32"/>
        </w:rPr>
        <w:t>一、问卷调查群体</w:t>
      </w:r>
      <w:bookmarkEnd w:id="338"/>
      <w:bookmarkEnd w:id="339"/>
      <w:bookmarkEnd w:id="340"/>
    </w:p>
    <w:p>
      <w:pPr>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本次满意度调查问卷调查对象是</w:t>
      </w:r>
      <w:r>
        <w:rPr>
          <w:rFonts w:hint="eastAsia" w:ascii="方正仿宋_GBK" w:hAnsi="方正仿宋_GBK" w:eastAsia="方正仿宋_GBK" w:cs="方正仿宋_GBK"/>
          <w:color w:val="auto"/>
          <w:sz w:val="32"/>
          <w:szCs w:val="32"/>
          <w:lang w:val="en-US" w:eastAsia="zh-CN"/>
        </w:rPr>
        <w:t>项目受益师生</w:t>
      </w:r>
      <w:r>
        <w:rPr>
          <w:rFonts w:hint="eastAsia" w:ascii="方正仿宋_GBK" w:hAnsi="方正仿宋_GBK" w:eastAsia="方正仿宋_GBK" w:cs="方正仿宋_GBK"/>
          <w:color w:val="auto"/>
          <w:sz w:val="32"/>
          <w:szCs w:val="32"/>
        </w:rPr>
        <w:t>。</w:t>
      </w:r>
    </w:p>
    <w:p>
      <w:pPr>
        <w:spacing w:line="560" w:lineRule="exact"/>
        <w:ind w:firstLine="640" w:firstLineChars="200"/>
        <w:outlineLvl w:val="0"/>
        <w:rPr>
          <w:rFonts w:hint="eastAsia" w:ascii="黑体" w:hAnsi="黑体" w:eastAsia="黑体" w:cs="黑体"/>
          <w:color w:val="auto"/>
          <w:sz w:val="32"/>
          <w:szCs w:val="32"/>
        </w:rPr>
      </w:pPr>
      <w:bookmarkStart w:id="341" w:name="_Toc31774"/>
      <w:bookmarkStart w:id="342" w:name="_Toc16063"/>
      <w:bookmarkStart w:id="343" w:name="_Toc12386"/>
      <w:r>
        <w:rPr>
          <w:rFonts w:hint="eastAsia" w:ascii="黑体" w:hAnsi="黑体" w:eastAsia="黑体" w:cs="黑体"/>
          <w:color w:val="auto"/>
          <w:sz w:val="32"/>
          <w:szCs w:val="32"/>
        </w:rPr>
        <w:t>二、问卷调查方式</w:t>
      </w:r>
      <w:bookmarkEnd w:id="341"/>
      <w:bookmarkEnd w:id="342"/>
      <w:bookmarkEnd w:id="343"/>
    </w:p>
    <w:p>
      <w:pPr>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本次采用抽样调查方式，对</w:t>
      </w:r>
      <w:r>
        <w:rPr>
          <w:rFonts w:hint="eastAsia" w:ascii="方正仿宋_GBK" w:hAnsi="方正仿宋_GBK" w:eastAsia="方正仿宋_GBK" w:cs="方正仿宋_GBK"/>
          <w:color w:val="auto"/>
          <w:sz w:val="32"/>
          <w:szCs w:val="32"/>
          <w:lang w:val="en-US" w:eastAsia="zh-CN"/>
        </w:rPr>
        <w:t>受益师生</w:t>
      </w:r>
      <w:r>
        <w:rPr>
          <w:rFonts w:hint="eastAsia" w:ascii="方正仿宋_GBK" w:hAnsi="方正仿宋_GBK" w:eastAsia="方正仿宋_GBK" w:cs="方正仿宋_GBK"/>
          <w:color w:val="auto"/>
          <w:sz w:val="32"/>
          <w:szCs w:val="32"/>
        </w:rPr>
        <w:t>进行</w:t>
      </w:r>
      <w:r>
        <w:rPr>
          <w:rFonts w:hint="eastAsia" w:ascii="方正仿宋_GBK" w:hAnsi="方正仿宋_GBK" w:eastAsia="方正仿宋_GBK" w:cs="方正仿宋_GBK"/>
          <w:color w:val="auto"/>
          <w:sz w:val="32"/>
          <w:szCs w:val="32"/>
          <w:lang w:eastAsia="zh-CN"/>
        </w:rPr>
        <w:t>抽样</w:t>
      </w:r>
      <w:r>
        <w:rPr>
          <w:rFonts w:hint="eastAsia" w:ascii="方正仿宋_GBK" w:hAnsi="方正仿宋_GBK" w:eastAsia="方正仿宋_GBK" w:cs="方正仿宋_GBK"/>
          <w:color w:val="auto"/>
          <w:sz w:val="32"/>
          <w:szCs w:val="32"/>
        </w:rPr>
        <w:t>调查，在项目单位协助下，共发放</w:t>
      </w:r>
      <w:r>
        <w:rPr>
          <w:rFonts w:hint="eastAsia" w:ascii="方正仿宋_GBK" w:hAnsi="方正仿宋_GBK" w:eastAsia="方正仿宋_GBK" w:cs="方正仿宋_GBK"/>
          <w:color w:val="auto"/>
          <w:sz w:val="32"/>
          <w:szCs w:val="32"/>
          <w:lang w:val="en-US" w:eastAsia="zh-CN"/>
        </w:rPr>
        <w:t>40</w:t>
      </w:r>
      <w:r>
        <w:rPr>
          <w:rFonts w:hint="eastAsia" w:ascii="方正仿宋_GBK" w:hAnsi="方正仿宋_GBK" w:eastAsia="方正仿宋_GBK" w:cs="方正仿宋_GBK"/>
          <w:color w:val="auto"/>
          <w:sz w:val="32"/>
          <w:szCs w:val="32"/>
        </w:rPr>
        <w:t>份调查问卷。</w:t>
      </w:r>
    </w:p>
    <w:p>
      <w:pPr>
        <w:spacing w:line="560" w:lineRule="exact"/>
        <w:ind w:firstLine="640" w:firstLineChars="200"/>
        <w:outlineLvl w:val="0"/>
        <w:rPr>
          <w:rFonts w:hint="eastAsia" w:ascii="黑体" w:hAnsi="黑体" w:eastAsia="黑体" w:cs="黑体"/>
          <w:color w:val="auto"/>
          <w:sz w:val="32"/>
          <w:szCs w:val="32"/>
        </w:rPr>
      </w:pPr>
      <w:bookmarkStart w:id="344" w:name="_Toc9149"/>
      <w:bookmarkStart w:id="345" w:name="_Toc19284"/>
      <w:bookmarkStart w:id="346" w:name="_Toc6699"/>
      <w:r>
        <w:rPr>
          <w:rFonts w:hint="eastAsia" w:ascii="黑体" w:hAnsi="黑体" w:eastAsia="黑体" w:cs="黑体"/>
          <w:color w:val="auto"/>
          <w:sz w:val="32"/>
          <w:szCs w:val="32"/>
        </w:rPr>
        <w:t>三、计算方式</w:t>
      </w:r>
      <w:bookmarkEnd w:id="344"/>
      <w:bookmarkEnd w:id="345"/>
      <w:bookmarkEnd w:id="346"/>
    </w:p>
    <w:p>
      <w:pPr>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满意度=调查结果为“是”统计数/回收问卷数*100%</w:t>
      </w:r>
    </w:p>
    <w:p>
      <w:pPr>
        <w:spacing w:line="560" w:lineRule="exact"/>
        <w:ind w:firstLine="640" w:firstLineChars="200"/>
        <w:outlineLvl w:val="0"/>
        <w:rPr>
          <w:rFonts w:hint="eastAsia" w:ascii="黑体" w:hAnsi="黑体" w:eastAsia="黑体" w:cs="黑体"/>
          <w:color w:val="auto"/>
          <w:sz w:val="32"/>
          <w:szCs w:val="32"/>
        </w:rPr>
      </w:pPr>
      <w:bookmarkStart w:id="347" w:name="_Toc32188"/>
      <w:bookmarkStart w:id="348" w:name="_Toc26132"/>
      <w:bookmarkStart w:id="349" w:name="_Toc40"/>
      <w:r>
        <w:rPr>
          <w:rFonts w:hint="eastAsia" w:ascii="黑体" w:hAnsi="黑体" w:eastAsia="黑体" w:cs="黑体"/>
          <w:color w:val="auto"/>
          <w:sz w:val="32"/>
          <w:szCs w:val="32"/>
        </w:rPr>
        <w:t>四、满意度调查结果分析</w:t>
      </w:r>
      <w:bookmarkEnd w:id="347"/>
      <w:bookmarkEnd w:id="348"/>
      <w:bookmarkEnd w:id="349"/>
    </w:p>
    <w:p>
      <w:pPr>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为客观评价莎车县基础教育设施设备提升（“优分优育”计划）项目</w:t>
      </w:r>
      <w:r>
        <w:rPr>
          <w:rFonts w:hint="eastAsia" w:ascii="方正仿宋_GBK" w:hAnsi="方正仿宋_GBK" w:eastAsia="方正仿宋_GBK" w:cs="方正仿宋_GBK"/>
          <w:color w:val="auto"/>
          <w:sz w:val="32"/>
          <w:szCs w:val="32"/>
          <w:lang w:val="en-US" w:eastAsia="zh-CN"/>
        </w:rPr>
        <w:t>受益师生</w:t>
      </w:r>
      <w:r>
        <w:rPr>
          <w:rFonts w:hint="eastAsia" w:ascii="方正仿宋_GBK" w:hAnsi="方正仿宋_GBK" w:eastAsia="方正仿宋_GBK" w:cs="方正仿宋_GBK"/>
          <w:color w:val="auto"/>
          <w:sz w:val="32"/>
          <w:szCs w:val="32"/>
        </w:rPr>
        <w:t>满意度情况，本次抽样发放满意度调查问卷</w:t>
      </w:r>
      <w:r>
        <w:rPr>
          <w:rFonts w:hint="eastAsia" w:ascii="方正仿宋_GBK" w:hAnsi="方正仿宋_GBK" w:eastAsia="方正仿宋_GBK" w:cs="方正仿宋_GBK"/>
          <w:color w:val="auto"/>
          <w:sz w:val="32"/>
          <w:szCs w:val="32"/>
          <w:lang w:val="en-US" w:eastAsia="zh-CN"/>
        </w:rPr>
        <w:t>40</w:t>
      </w:r>
      <w:r>
        <w:rPr>
          <w:rFonts w:hint="eastAsia" w:ascii="方正仿宋_GBK" w:hAnsi="方正仿宋_GBK" w:eastAsia="方正仿宋_GBK" w:cs="方正仿宋_GBK"/>
          <w:color w:val="auto"/>
          <w:sz w:val="32"/>
          <w:szCs w:val="32"/>
        </w:rPr>
        <w:t>份，回收</w:t>
      </w:r>
      <w:r>
        <w:rPr>
          <w:rFonts w:hint="eastAsia" w:ascii="方正仿宋_GBK" w:hAnsi="方正仿宋_GBK" w:eastAsia="方正仿宋_GBK" w:cs="方正仿宋_GBK"/>
          <w:color w:val="auto"/>
          <w:sz w:val="32"/>
          <w:szCs w:val="32"/>
          <w:lang w:val="en-US" w:eastAsia="zh-CN"/>
        </w:rPr>
        <w:t>40</w:t>
      </w:r>
      <w:r>
        <w:rPr>
          <w:rFonts w:hint="eastAsia" w:ascii="方正仿宋_GBK" w:hAnsi="方正仿宋_GBK" w:eastAsia="方正仿宋_GBK" w:cs="方正仿宋_GBK"/>
          <w:color w:val="auto"/>
          <w:sz w:val="32"/>
          <w:szCs w:val="32"/>
        </w:rPr>
        <w:t>份，具体调查情况如下：</w:t>
      </w:r>
    </w:p>
    <w:tbl>
      <w:tblPr>
        <w:tblStyle w:val="36"/>
        <w:tblW w:w="0" w:type="auto"/>
        <w:tblInd w:w="112" w:type="dxa"/>
        <w:tblLayout w:type="fixed"/>
        <w:tblCellMar>
          <w:top w:w="0" w:type="dxa"/>
          <w:left w:w="108" w:type="dxa"/>
          <w:bottom w:w="0" w:type="dxa"/>
          <w:right w:w="108" w:type="dxa"/>
        </w:tblCellMar>
      </w:tblPr>
      <w:tblGrid>
        <w:gridCol w:w="956"/>
        <w:gridCol w:w="3311"/>
        <w:gridCol w:w="873"/>
        <w:gridCol w:w="914"/>
        <w:gridCol w:w="1110"/>
        <w:gridCol w:w="1246"/>
      </w:tblGrid>
      <w:tr>
        <w:tblPrEx>
          <w:tblCellMar>
            <w:top w:w="0" w:type="dxa"/>
            <w:left w:w="108" w:type="dxa"/>
            <w:bottom w:w="0" w:type="dxa"/>
            <w:right w:w="108" w:type="dxa"/>
          </w:tblCellMar>
        </w:tblPrEx>
        <w:trPr>
          <w:trHeight w:val="1395"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00" w:firstLineChars="20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5"/>
                <w:szCs w:val="15"/>
              </w:rPr>
              <w:t>序号</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00" w:firstLineChars="20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5"/>
                <w:szCs w:val="15"/>
              </w:rPr>
              <w:t>问题</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5"/>
                <w:szCs w:val="15"/>
              </w:rPr>
              <w:t>回收数</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15"/>
                <w:szCs w:val="15"/>
              </w:rPr>
              <w:t>结果为“是”统计数</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22"/>
                <w:szCs w:val="22"/>
              </w:rPr>
            </w:pPr>
            <w:r>
              <w:rPr>
                <w:rFonts w:hint="eastAsia" w:ascii="方正仿宋_GBK" w:hAnsi="方正仿宋_GBK" w:eastAsia="方正仿宋_GBK" w:cs="方正仿宋_GBK"/>
                <w:color w:val="auto"/>
                <w:sz w:val="15"/>
                <w:szCs w:val="15"/>
              </w:rPr>
              <w:t>结果为“否”统计数</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5"/>
                <w:szCs w:val="15"/>
              </w:rPr>
              <w:t>结果为“是”占比</w:t>
            </w:r>
          </w:p>
        </w:tc>
      </w:tr>
      <w:tr>
        <w:tblPrEx>
          <w:tblCellMar>
            <w:top w:w="0" w:type="dxa"/>
            <w:left w:w="108" w:type="dxa"/>
            <w:bottom w:w="0" w:type="dxa"/>
            <w:right w:w="108" w:type="dxa"/>
          </w:tblCellMar>
        </w:tblPrEx>
        <w:trPr>
          <w:trHeight w:val="441"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5"/>
                <w:szCs w:val="15"/>
              </w:rPr>
            </w:pPr>
            <w:r>
              <w:rPr>
                <w:rFonts w:hint="eastAsia" w:ascii="方正仿宋_GBK" w:hAnsi="方正仿宋_GBK" w:eastAsia="方正仿宋_GBK" w:cs="方正仿宋_GBK"/>
                <w:color w:val="auto"/>
                <w:sz w:val="15"/>
                <w:szCs w:val="15"/>
                <w:lang w:eastAsia="zh-CN"/>
              </w:rPr>
              <w:t>您对本项目引入的智慧教育软件服务功能是否满意</w:t>
            </w:r>
            <w:r>
              <w:rPr>
                <w:rFonts w:hint="eastAsia" w:ascii="方正仿宋_GBK" w:hAnsi="方正仿宋_GBK" w:eastAsia="方正仿宋_GBK" w:cs="方正仿宋_GBK"/>
                <w:color w:val="auto"/>
                <w:sz w:val="15"/>
                <w:szCs w:val="15"/>
              </w:rPr>
              <w:t>？</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40</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100%</w:t>
            </w:r>
          </w:p>
        </w:tc>
      </w:tr>
      <w:tr>
        <w:tblPrEx>
          <w:tblCellMar>
            <w:top w:w="0" w:type="dxa"/>
            <w:left w:w="108" w:type="dxa"/>
            <w:bottom w:w="0" w:type="dxa"/>
            <w:right w:w="108" w:type="dxa"/>
          </w:tblCellMar>
        </w:tblPrEx>
        <w:trPr>
          <w:trHeight w:val="477"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2</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5"/>
                <w:szCs w:val="15"/>
                <w:lang w:val="en-US" w:eastAsia="zh-CN"/>
              </w:rPr>
            </w:pPr>
            <w:r>
              <w:rPr>
                <w:rFonts w:hint="eastAsia" w:ascii="方正仿宋_GBK" w:hAnsi="方正仿宋_GBK" w:eastAsia="方正仿宋_GBK" w:cs="方正仿宋_GBK"/>
                <w:color w:val="auto"/>
                <w:sz w:val="15"/>
                <w:szCs w:val="15"/>
                <w:lang w:val="en-US" w:eastAsia="zh-CN"/>
              </w:rPr>
              <w:t>智慧教育软件操作便捷，能够适配日常课堂教学需求？</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lang w:val="en-US" w:eastAsia="zh-CN"/>
              </w:rPr>
              <w:t>40</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rPr>
              <w:t>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rPr>
              <w:t>100%</w:t>
            </w:r>
          </w:p>
        </w:tc>
      </w:tr>
      <w:tr>
        <w:tblPrEx>
          <w:tblCellMar>
            <w:top w:w="0" w:type="dxa"/>
            <w:left w:w="108" w:type="dxa"/>
            <w:bottom w:w="0" w:type="dxa"/>
            <w:right w:w="108" w:type="dxa"/>
          </w:tblCellMar>
        </w:tblPrEx>
        <w:trPr>
          <w:trHeight w:val="477"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3</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both"/>
              <w:rPr>
                <w:rFonts w:hint="eastAsia" w:ascii="方正仿宋_GBK" w:hAnsi="方正仿宋_GBK" w:eastAsia="方正仿宋_GBK" w:cs="方正仿宋_GBK"/>
                <w:color w:val="auto"/>
                <w:sz w:val="15"/>
                <w:szCs w:val="15"/>
                <w:lang w:val="en-US" w:eastAsia="zh-CN"/>
              </w:rPr>
            </w:pPr>
            <w:r>
              <w:rPr>
                <w:rFonts w:hint="eastAsia" w:ascii="方正仿宋_GBK" w:hAnsi="方正仿宋_GBK" w:eastAsia="方正仿宋_GBK" w:cs="方正仿宋_GBK"/>
                <w:color w:val="auto"/>
                <w:sz w:val="15"/>
                <w:szCs w:val="15"/>
                <w:lang w:val="en-US" w:eastAsia="zh-CN"/>
              </w:rPr>
              <w:t>备课教学一体化平台资源丰富，对备课授课有帮助？</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lang w:val="en-US" w:eastAsia="zh-CN"/>
              </w:rPr>
              <w:t>40</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rPr>
              <w:t>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kern w:val="2"/>
                <w:sz w:val="18"/>
                <w:szCs w:val="18"/>
                <w:lang w:val="en-US" w:eastAsia="zh-CN" w:bidi="ar-SA"/>
              </w:rPr>
            </w:pPr>
            <w:r>
              <w:rPr>
                <w:rFonts w:hint="eastAsia" w:ascii="方正仿宋_GBK" w:hAnsi="方正仿宋_GBK" w:eastAsia="方正仿宋_GBK" w:cs="方正仿宋_GBK"/>
                <w:color w:val="auto"/>
                <w:sz w:val="18"/>
                <w:szCs w:val="18"/>
              </w:rPr>
              <w:t>100%</w:t>
            </w:r>
          </w:p>
        </w:tc>
      </w:tr>
      <w:tr>
        <w:tblPrEx>
          <w:tblCellMar>
            <w:top w:w="0" w:type="dxa"/>
            <w:left w:w="108" w:type="dxa"/>
            <w:bottom w:w="0" w:type="dxa"/>
            <w:right w:w="108" w:type="dxa"/>
          </w:tblCellMar>
        </w:tblPrEx>
        <w:trPr>
          <w:trHeight w:val="477"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val="en-US" w:eastAsia="zh-CN"/>
              </w:rPr>
              <w:t>4</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both"/>
              <w:rPr>
                <w:rFonts w:hint="default" w:ascii="方正仿宋_GBK" w:hAnsi="方正仿宋_GBK" w:eastAsia="方正仿宋_GBK" w:cs="方正仿宋_GBK"/>
                <w:color w:val="auto"/>
                <w:sz w:val="15"/>
                <w:szCs w:val="15"/>
                <w:lang w:val="en-US" w:eastAsia="zh-CN"/>
              </w:rPr>
            </w:pPr>
            <w:r>
              <w:rPr>
                <w:rFonts w:hint="eastAsia" w:ascii="方正仿宋_GBK" w:hAnsi="方正仿宋_GBK" w:eastAsia="方正仿宋_GBK" w:cs="方正仿宋_GBK"/>
                <w:color w:val="auto"/>
                <w:sz w:val="15"/>
                <w:szCs w:val="15"/>
                <w:lang w:val="en-US" w:eastAsia="zh-CN"/>
              </w:rPr>
              <w:t>数字化教学工具有助于提升课堂教学质量？</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40</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40</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eastAsia"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0</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rightChars="0" w:firstLine="360" w:firstLineChars="200"/>
              <w:jc w:val="center"/>
              <w:rPr>
                <w:rFonts w:hint="default"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rPr>
              <w:t>100%</w:t>
            </w:r>
          </w:p>
        </w:tc>
      </w:tr>
      <w:tr>
        <w:tblPrEx>
          <w:tblCellMar>
            <w:top w:w="0" w:type="dxa"/>
            <w:left w:w="108" w:type="dxa"/>
            <w:bottom w:w="0" w:type="dxa"/>
            <w:right w:w="108" w:type="dxa"/>
          </w:tblCellMar>
        </w:tblPrEx>
        <w:trPr>
          <w:trHeight w:val="505" w:hRule="atLeast"/>
        </w:trPr>
        <w:tc>
          <w:tcPr>
            <w:tcW w:w="9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val="en-US" w:eastAsia="zh-CN"/>
              </w:rPr>
              <w:t>5</w:t>
            </w:r>
          </w:p>
        </w:tc>
        <w:tc>
          <w:tcPr>
            <w:tcW w:w="3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leftChars="0" w:right="0" w:firstLine="0" w:firstLineChars="0"/>
              <w:jc w:val="both"/>
              <w:rPr>
                <w:rFonts w:hint="default" w:ascii="方正仿宋_GBK" w:hAnsi="方正仿宋_GBK" w:eastAsia="方正仿宋_GBK" w:cs="方正仿宋_GBK"/>
                <w:color w:val="auto"/>
                <w:sz w:val="15"/>
                <w:szCs w:val="15"/>
                <w:lang w:val="en-US" w:eastAsia="zh-CN"/>
              </w:rPr>
            </w:pPr>
            <w:r>
              <w:rPr>
                <w:rFonts w:hint="eastAsia" w:ascii="方正仿宋_GBK" w:hAnsi="方正仿宋_GBK" w:eastAsia="方正仿宋_GBK" w:cs="方正仿宋_GBK"/>
                <w:color w:val="auto"/>
                <w:sz w:val="15"/>
                <w:szCs w:val="15"/>
                <w:lang w:val="en-US" w:eastAsia="zh-CN"/>
              </w:rPr>
              <w:t>综合整体情况，您对“优分优育”项目实施成效总体满意？</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40</w:t>
            </w:r>
          </w:p>
        </w:tc>
        <w:tc>
          <w:tcPr>
            <w:tcW w:w="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lang w:val="en-US" w:eastAsia="zh-CN"/>
              </w:rPr>
            </w:pPr>
            <w:r>
              <w:rPr>
                <w:rFonts w:hint="eastAsia" w:ascii="方正仿宋_GBK" w:hAnsi="方正仿宋_GBK" w:eastAsia="方正仿宋_GBK" w:cs="方正仿宋_GBK"/>
                <w:color w:val="auto"/>
                <w:sz w:val="18"/>
                <w:szCs w:val="18"/>
                <w:lang w:val="en-US" w:eastAsia="zh-CN"/>
              </w:rPr>
              <w:t>38</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eastAsia" w:ascii="方正仿宋_GBK" w:hAnsi="方正仿宋_GBK" w:eastAsia="方正仿宋_GBK" w:cs="方正仿宋_GBK"/>
                <w:color w:val="auto"/>
                <w:sz w:val="18"/>
                <w:szCs w:val="18"/>
                <w:lang w:eastAsia="zh-CN"/>
              </w:rPr>
            </w:pPr>
            <w:r>
              <w:rPr>
                <w:rFonts w:hint="eastAsia" w:ascii="方正仿宋_GBK" w:hAnsi="方正仿宋_GBK" w:eastAsia="方正仿宋_GBK" w:cs="方正仿宋_GBK"/>
                <w:color w:val="auto"/>
                <w:sz w:val="18"/>
                <w:szCs w:val="18"/>
                <w:lang w:val="en-US" w:eastAsia="zh-CN"/>
              </w:rPr>
              <w:t>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560" w:lineRule="exact"/>
              <w:ind w:left="0" w:right="0" w:firstLine="360" w:firstLineChars="200"/>
              <w:jc w:val="center"/>
              <w:rPr>
                <w:rFonts w:hint="default" w:ascii="方正仿宋_GBK" w:hAnsi="方正仿宋_GBK" w:eastAsia="方正仿宋_GBK" w:cs="方正仿宋_GBK"/>
                <w:color w:val="auto"/>
                <w:sz w:val="18"/>
                <w:szCs w:val="18"/>
              </w:rPr>
            </w:pPr>
            <w:r>
              <w:rPr>
                <w:rFonts w:hint="eastAsia" w:ascii="方正仿宋_GBK" w:hAnsi="方正仿宋_GBK" w:eastAsia="方正仿宋_GBK" w:cs="方正仿宋_GBK"/>
                <w:color w:val="auto"/>
                <w:sz w:val="18"/>
                <w:szCs w:val="18"/>
                <w:lang w:val="en-US" w:eastAsia="zh-CN"/>
              </w:rPr>
              <w:t>95</w:t>
            </w:r>
            <w:r>
              <w:rPr>
                <w:rFonts w:hint="eastAsia" w:ascii="方正仿宋_GBK" w:hAnsi="方正仿宋_GBK" w:eastAsia="方正仿宋_GBK" w:cs="方正仿宋_GBK"/>
                <w:color w:val="auto"/>
                <w:sz w:val="18"/>
                <w:szCs w:val="18"/>
              </w:rPr>
              <w:t>%</w:t>
            </w:r>
          </w:p>
        </w:tc>
      </w:tr>
    </w:tbl>
    <w:p>
      <w:pPr>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根据上述结果显示，本次满意度调查结果是</w:t>
      </w:r>
      <w:r>
        <w:rPr>
          <w:rFonts w:hint="eastAsia" w:ascii="方正仿宋_GBK" w:hAnsi="方正仿宋_GBK" w:eastAsia="方正仿宋_GBK" w:cs="方正仿宋_GBK"/>
          <w:color w:val="auto"/>
          <w:sz w:val="32"/>
          <w:szCs w:val="32"/>
          <w:lang w:val="en-US" w:eastAsia="zh-CN"/>
        </w:rPr>
        <w:t>95</w:t>
      </w:r>
      <w:r>
        <w:rPr>
          <w:rFonts w:hint="eastAsia" w:ascii="方正仿宋_GBK" w:hAnsi="方正仿宋_GBK" w:eastAsia="方正仿宋_GBK" w:cs="方正仿宋_GBK"/>
          <w:color w:val="auto"/>
          <w:sz w:val="32"/>
          <w:szCs w:val="32"/>
        </w:rPr>
        <w:t>%。</w:t>
      </w:r>
    </w:p>
    <w:p/>
    <w:p>
      <w:pPr>
        <w:pStyle w:val="2"/>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rPr>
          <w:rFonts w:hint="default"/>
          <w:lang w:val="en-US" w:eastAsia="zh-CN"/>
        </w:rPr>
      </w:pPr>
    </w:p>
    <w:p>
      <w:pPr>
        <w:pStyle w:val="2"/>
        <w:rPr>
          <w:rFonts w:hint="default"/>
          <w:lang w:val="en-US" w:eastAsia="zh-CN"/>
        </w:rPr>
      </w:pPr>
    </w:p>
    <w:p>
      <w:pPr>
        <w:pStyle w:val="4"/>
        <w:rPr>
          <w:rFonts w:hint="default"/>
          <w:lang w:val="en-US" w:eastAsia="zh-CN"/>
        </w:rPr>
      </w:pPr>
    </w:p>
    <w:p>
      <w:pPr>
        <w:rPr>
          <w:rFonts w:hint="default"/>
          <w:lang w:val="en-US" w:eastAsia="zh-CN"/>
        </w:rPr>
      </w:pPr>
    </w:p>
    <w:p>
      <w:pPr>
        <w:ind w:left="0" w:leftChars="0" w:firstLine="0" w:firstLineChars="0"/>
        <w:outlineLvl w:val="0"/>
        <w:rPr>
          <w:rFonts w:hint="eastAsia" w:ascii="方正仿宋_GBK" w:hAnsi="方正仿宋_GBK" w:eastAsia="方正仿宋_GBK" w:cs="方正仿宋_GBK"/>
          <w:b/>
          <w:bCs/>
          <w:sz w:val="32"/>
          <w:szCs w:val="32"/>
          <w:lang w:val="en-US" w:eastAsia="zh-CN"/>
        </w:rPr>
      </w:pPr>
      <w:bookmarkStart w:id="350" w:name="_Toc12364"/>
    </w:p>
    <w:p>
      <w:pPr>
        <w:ind w:left="0" w:leftChars="0" w:firstLine="0" w:firstLineChars="0"/>
        <w:outlineLvl w:val="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附件7：工作记录图片</w:t>
      </w:r>
      <w:bookmarkEnd w:id="350"/>
    </w:p>
    <w:p>
      <w:pPr>
        <w:pStyle w:val="2"/>
        <w:spacing w:line="240" w:lineRule="auto"/>
        <w:rPr>
          <w:rFonts w:hint="eastAsia"/>
          <w:lang w:val="en-US" w:eastAsia="zh-CN"/>
        </w:rPr>
      </w:pPr>
      <w:r>
        <w:rPr>
          <w:rFonts w:hint="eastAsia"/>
          <w:lang w:val="en-US" w:eastAsia="zh-CN"/>
        </w:rPr>
        <w:drawing>
          <wp:inline distT="0" distB="0" distL="114300" distR="114300">
            <wp:extent cx="5269230" cy="2786380"/>
            <wp:effectExtent l="0" t="0" r="7620" b="13970"/>
            <wp:docPr id="17" name="图片 17" descr="0fc768f0f1328fdccc7552e936b3e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fc768f0f1328fdccc7552e936b3e382"/>
                    <pic:cNvPicPr>
                      <a:picLocks noChangeAspect="1"/>
                    </pic:cNvPicPr>
                  </pic:nvPicPr>
                  <pic:blipFill>
                    <a:blip r:embed="rId17"/>
                    <a:stretch>
                      <a:fillRect/>
                    </a:stretch>
                  </pic:blipFill>
                  <pic:spPr>
                    <a:xfrm>
                      <a:off x="0" y="0"/>
                      <a:ext cx="5269230" cy="2786380"/>
                    </a:xfrm>
                    <a:prstGeom prst="rect">
                      <a:avLst/>
                    </a:prstGeom>
                  </pic:spPr>
                </pic:pic>
              </a:graphicData>
            </a:graphic>
          </wp:inline>
        </w:drawing>
      </w:r>
    </w:p>
    <w:p>
      <w:pPr>
        <w:pStyle w:val="4"/>
        <w:rPr>
          <w:rFonts w:hint="eastAsia"/>
          <w:lang w:val="en-US" w:eastAsia="zh-CN"/>
        </w:rPr>
      </w:pPr>
      <w:r>
        <w:rPr>
          <w:rFonts w:hint="eastAsia"/>
          <w:lang w:val="en-US" w:eastAsia="zh-CN"/>
        </w:rPr>
        <w:drawing>
          <wp:inline distT="0" distB="0" distL="114300" distR="114300">
            <wp:extent cx="5270500" cy="3114675"/>
            <wp:effectExtent l="0" t="0" r="6350" b="9525"/>
            <wp:docPr id="18" name="图片 18" descr="6bdfc762eaafa2c2a84c38d9cb69cf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6bdfc762eaafa2c2a84c38d9cb69cfe1"/>
                    <pic:cNvPicPr>
                      <a:picLocks noChangeAspect="1"/>
                    </pic:cNvPicPr>
                  </pic:nvPicPr>
                  <pic:blipFill>
                    <a:blip r:embed="rId18"/>
                    <a:stretch>
                      <a:fillRect/>
                    </a:stretch>
                  </pic:blipFill>
                  <pic:spPr>
                    <a:xfrm>
                      <a:off x="0" y="0"/>
                      <a:ext cx="5270500" cy="3114675"/>
                    </a:xfrm>
                    <a:prstGeom prst="rect">
                      <a:avLst/>
                    </a:prstGeom>
                  </pic:spPr>
                </pic:pic>
              </a:graphicData>
            </a:graphic>
          </wp:inline>
        </w:drawing>
      </w:r>
    </w:p>
    <w:p>
      <w:pPr>
        <w:rPr>
          <w:rFonts w:hint="eastAsia"/>
          <w:lang w:val="en-US" w:eastAsia="zh-CN"/>
        </w:rPr>
      </w:pPr>
    </w:p>
    <w:p>
      <w:pPr>
        <w:pStyle w:val="2"/>
        <w:rPr>
          <w:rFonts w:hint="eastAsia"/>
          <w:lang w:val="en-US" w:eastAsia="zh-CN"/>
        </w:rPr>
      </w:pPr>
    </w:p>
    <w:p>
      <w:pPr>
        <w:pStyle w:val="4"/>
        <w:rPr>
          <w:rFonts w:hint="eastAsia"/>
          <w:lang w:val="en-US" w:eastAsia="zh-CN"/>
        </w:rPr>
      </w:pPr>
    </w:p>
    <w:p>
      <w:pPr>
        <w:rPr>
          <w:rFonts w:hint="eastAsia"/>
          <w:lang w:val="en-US" w:eastAsia="zh-CN"/>
        </w:rPr>
      </w:pPr>
    </w:p>
    <w:p>
      <w:pPr>
        <w:pStyle w:val="2"/>
        <w:rPr>
          <w:rFonts w:hint="eastAsia"/>
          <w:lang w:val="en-US" w:eastAsia="zh-CN"/>
        </w:rPr>
      </w:pPr>
    </w:p>
    <w:p>
      <w:pPr>
        <w:pStyle w:val="4"/>
        <w:rPr>
          <w:rFonts w:hint="eastAsia"/>
          <w:lang w:val="en-US" w:eastAsia="zh-CN"/>
        </w:rPr>
      </w:pPr>
    </w:p>
    <w:p>
      <w:pPr>
        <w:rPr>
          <w:rFonts w:hint="eastAsia"/>
          <w:lang w:val="en-US" w:eastAsia="zh-CN"/>
        </w:rPr>
      </w:pPr>
    </w:p>
    <w:p>
      <w:pPr>
        <w:pStyle w:val="2"/>
        <w:spacing w:line="240" w:lineRule="auto"/>
        <w:rPr>
          <w:rFonts w:hint="eastAsia"/>
          <w:lang w:val="en-US" w:eastAsia="zh-CN"/>
        </w:rPr>
      </w:pPr>
      <w:r>
        <w:rPr>
          <w:rFonts w:hint="eastAsia"/>
          <w:lang w:val="en-US" w:eastAsia="zh-CN"/>
        </w:rPr>
        <w:drawing>
          <wp:inline distT="0" distB="0" distL="114300" distR="114300">
            <wp:extent cx="5565775" cy="4075430"/>
            <wp:effectExtent l="0" t="0" r="15875" b="1270"/>
            <wp:docPr id="20" name="图片 20" descr="8eec4326be65c58bc6109590457f69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eec4326be65c58bc6109590457f69ef"/>
                    <pic:cNvPicPr>
                      <a:picLocks noChangeAspect="1"/>
                    </pic:cNvPicPr>
                  </pic:nvPicPr>
                  <pic:blipFill>
                    <a:blip r:embed="rId19"/>
                    <a:stretch>
                      <a:fillRect/>
                    </a:stretch>
                  </pic:blipFill>
                  <pic:spPr>
                    <a:xfrm>
                      <a:off x="0" y="0"/>
                      <a:ext cx="5565775" cy="4075430"/>
                    </a:xfrm>
                    <a:prstGeom prst="rect">
                      <a:avLst/>
                    </a:prstGeom>
                  </pic:spPr>
                </pic:pic>
              </a:graphicData>
            </a:graphic>
          </wp:inline>
        </w:drawing>
      </w:r>
      <w:r>
        <w:rPr>
          <w:rFonts w:hint="eastAsia"/>
          <w:lang w:val="en-US" w:eastAsia="zh-CN"/>
        </w:rPr>
        <w:drawing>
          <wp:inline distT="0" distB="0" distL="114300" distR="114300">
            <wp:extent cx="5620385" cy="3958590"/>
            <wp:effectExtent l="0" t="0" r="18415" b="3810"/>
            <wp:docPr id="19" name="图片 19" descr="6932d2e64059b37bc68d0278fd501c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6932d2e64059b37bc68d0278fd501c9e"/>
                    <pic:cNvPicPr>
                      <a:picLocks noChangeAspect="1"/>
                    </pic:cNvPicPr>
                  </pic:nvPicPr>
                  <pic:blipFill>
                    <a:blip r:embed="rId20"/>
                    <a:stretch>
                      <a:fillRect/>
                    </a:stretch>
                  </pic:blipFill>
                  <pic:spPr>
                    <a:xfrm>
                      <a:off x="0" y="0"/>
                      <a:ext cx="5620385" cy="3958590"/>
                    </a:xfrm>
                    <a:prstGeom prst="rect">
                      <a:avLst/>
                    </a:prstGeom>
                  </pic:spPr>
                </pic:pic>
              </a:graphicData>
            </a:graphic>
          </wp:inline>
        </w:drawing>
      </w:r>
    </w:p>
    <w:p>
      <w:pPr>
        <w:pStyle w:val="4"/>
        <w:rPr>
          <w:rFonts w:hint="eastAsia"/>
          <w:lang w:val="en-US" w:eastAsia="zh-CN"/>
        </w:rPr>
      </w:pPr>
    </w:p>
    <w:p>
      <w:pPr>
        <w:rPr>
          <w:rFonts w:hint="eastAsia"/>
          <w:lang w:val="en-US" w:eastAsia="zh-CN"/>
        </w:rPr>
      </w:pPr>
    </w:p>
    <w:p>
      <w:pPr>
        <w:pStyle w:val="2"/>
        <w:spacing w:line="240" w:lineRule="auto"/>
        <w:jc w:val="center"/>
        <w:rPr>
          <w:rFonts w:hint="eastAsia"/>
          <w:lang w:val="en-US" w:eastAsia="zh-CN"/>
        </w:rPr>
      </w:pPr>
      <w:r>
        <w:rPr>
          <w:rFonts w:hint="eastAsia"/>
          <w:lang w:val="en-US" w:eastAsia="zh-CN"/>
        </w:rPr>
        <w:drawing>
          <wp:inline distT="0" distB="0" distL="114300" distR="114300">
            <wp:extent cx="5068570" cy="3958590"/>
            <wp:effectExtent l="0" t="0" r="17780" b="3810"/>
            <wp:docPr id="23" name="图片 23" descr="027087271184b00ec44cda1e12e1db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27087271184b00ec44cda1e12e1db18"/>
                    <pic:cNvPicPr>
                      <a:picLocks noChangeAspect="1"/>
                    </pic:cNvPicPr>
                  </pic:nvPicPr>
                  <pic:blipFill>
                    <a:blip r:embed="rId21"/>
                    <a:stretch>
                      <a:fillRect/>
                    </a:stretch>
                  </pic:blipFill>
                  <pic:spPr>
                    <a:xfrm>
                      <a:off x="0" y="0"/>
                      <a:ext cx="5068570" cy="3958590"/>
                    </a:xfrm>
                    <a:prstGeom prst="rect">
                      <a:avLst/>
                    </a:prstGeom>
                  </pic:spPr>
                </pic:pic>
              </a:graphicData>
            </a:graphic>
          </wp:inline>
        </w:drawing>
      </w:r>
      <w:r>
        <w:rPr>
          <w:rFonts w:hint="eastAsia"/>
          <w:lang w:val="en-US" w:eastAsia="zh-CN"/>
        </w:rPr>
        <w:drawing>
          <wp:inline distT="0" distB="0" distL="114300" distR="114300">
            <wp:extent cx="5059045" cy="3958590"/>
            <wp:effectExtent l="0" t="0" r="8255" b="3810"/>
            <wp:docPr id="25" name="图片 25" descr="c29a9c99cf46c1a7e40b3570e528bf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29a9c99cf46c1a7e40b3570e528bf7a"/>
                    <pic:cNvPicPr>
                      <a:picLocks noChangeAspect="1"/>
                    </pic:cNvPicPr>
                  </pic:nvPicPr>
                  <pic:blipFill>
                    <a:blip r:embed="rId22"/>
                    <a:stretch>
                      <a:fillRect/>
                    </a:stretch>
                  </pic:blipFill>
                  <pic:spPr>
                    <a:xfrm>
                      <a:off x="0" y="0"/>
                      <a:ext cx="5059045" cy="3958590"/>
                    </a:xfrm>
                    <a:prstGeom prst="rect">
                      <a:avLst/>
                    </a:prstGeom>
                  </pic:spPr>
                </pic:pic>
              </a:graphicData>
            </a:graphic>
          </wp:inline>
        </w:drawing>
      </w:r>
      <w:r>
        <w:rPr>
          <w:rFonts w:hint="eastAsia"/>
          <w:lang w:val="en-US" w:eastAsia="zh-CN"/>
        </w:rPr>
        <w:drawing>
          <wp:inline distT="0" distB="0" distL="114300" distR="114300">
            <wp:extent cx="5270500" cy="3114675"/>
            <wp:effectExtent l="0" t="0" r="6350" b="9525"/>
            <wp:docPr id="22" name="图片 22" descr="a49f0c9713ece6d2ae9bfb28007c0f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a49f0c9713ece6d2ae9bfb28007c0f1f"/>
                    <pic:cNvPicPr>
                      <a:picLocks noChangeAspect="1"/>
                    </pic:cNvPicPr>
                  </pic:nvPicPr>
                  <pic:blipFill>
                    <a:blip r:embed="rId23"/>
                    <a:stretch>
                      <a:fillRect/>
                    </a:stretch>
                  </pic:blipFill>
                  <pic:spPr>
                    <a:xfrm>
                      <a:off x="0" y="0"/>
                      <a:ext cx="5270500" cy="3114675"/>
                    </a:xfrm>
                    <a:prstGeom prst="rect">
                      <a:avLst/>
                    </a:prstGeom>
                  </pic:spPr>
                </pic:pic>
              </a:graphicData>
            </a:graphic>
          </wp:inline>
        </w:drawing>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left="280" w:leftChars="100" w:right="280" w:rightChars="100"/>
      <w:jc w:val="right"/>
      <w:rPr>
        <w:rFonts w:hint="eastAsia"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29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E1269"/>
    <w:multiLevelType w:val="singleLevel"/>
    <w:tmpl w:val="04DE1269"/>
    <w:lvl w:ilvl="0" w:tentative="0">
      <w:start w:val="2"/>
      <w:numFmt w:val="chineseCounting"/>
      <w:suff w:val="nothing"/>
      <w:lvlText w:val="（%1）"/>
      <w:lvlJc w:val="left"/>
      <w:pPr>
        <w:ind w:left="19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xNWNmNDkwMjkwMDIwNGU3Y2Q4OWFlYTBhZGU3MmIifQ=="/>
  </w:docVars>
  <w:rsids>
    <w:rsidRoot w:val="2628021F"/>
    <w:rsid w:val="00296707"/>
    <w:rsid w:val="004C24B4"/>
    <w:rsid w:val="0061174E"/>
    <w:rsid w:val="006609ED"/>
    <w:rsid w:val="00930024"/>
    <w:rsid w:val="00AA39C6"/>
    <w:rsid w:val="016A50A2"/>
    <w:rsid w:val="01F47232"/>
    <w:rsid w:val="020A4075"/>
    <w:rsid w:val="037405E1"/>
    <w:rsid w:val="03C04B96"/>
    <w:rsid w:val="03C51479"/>
    <w:rsid w:val="03E2379C"/>
    <w:rsid w:val="04102FDF"/>
    <w:rsid w:val="04C030C7"/>
    <w:rsid w:val="05540464"/>
    <w:rsid w:val="058B444B"/>
    <w:rsid w:val="05F23A3F"/>
    <w:rsid w:val="064B4284"/>
    <w:rsid w:val="0674352F"/>
    <w:rsid w:val="06803D17"/>
    <w:rsid w:val="069A7EFB"/>
    <w:rsid w:val="06D71C2E"/>
    <w:rsid w:val="06E976D0"/>
    <w:rsid w:val="07846CA5"/>
    <w:rsid w:val="08054732"/>
    <w:rsid w:val="08320C65"/>
    <w:rsid w:val="08437B95"/>
    <w:rsid w:val="089256B0"/>
    <w:rsid w:val="0895702F"/>
    <w:rsid w:val="08A3592E"/>
    <w:rsid w:val="09181A0E"/>
    <w:rsid w:val="0974296B"/>
    <w:rsid w:val="09807144"/>
    <w:rsid w:val="09A56507"/>
    <w:rsid w:val="09DD363B"/>
    <w:rsid w:val="0A1A0B9C"/>
    <w:rsid w:val="0A4514BF"/>
    <w:rsid w:val="0A7126CE"/>
    <w:rsid w:val="0A8E36E9"/>
    <w:rsid w:val="0AA35976"/>
    <w:rsid w:val="0B10482F"/>
    <w:rsid w:val="0B5735A2"/>
    <w:rsid w:val="0B694BA0"/>
    <w:rsid w:val="0BA82C33"/>
    <w:rsid w:val="0BCE57D5"/>
    <w:rsid w:val="0BEE0384"/>
    <w:rsid w:val="0C3E178C"/>
    <w:rsid w:val="0D477A27"/>
    <w:rsid w:val="0D582382"/>
    <w:rsid w:val="0E043112"/>
    <w:rsid w:val="0E32698F"/>
    <w:rsid w:val="0E5341C8"/>
    <w:rsid w:val="0E550377"/>
    <w:rsid w:val="0E6E4309"/>
    <w:rsid w:val="0E7C47EE"/>
    <w:rsid w:val="0E82522C"/>
    <w:rsid w:val="0ED75871"/>
    <w:rsid w:val="0FF80511"/>
    <w:rsid w:val="114809B7"/>
    <w:rsid w:val="11D03A1E"/>
    <w:rsid w:val="120D166A"/>
    <w:rsid w:val="122863AF"/>
    <w:rsid w:val="12D7219D"/>
    <w:rsid w:val="132071A3"/>
    <w:rsid w:val="133346ED"/>
    <w:rsid w:val="13545F20"/>
    <w:rsid w:val="143A0E25"/>
    <w:rsid w:val="144F6B71"/>
    <w:rsid w:val="14601D53"/>
    <w:rsid w:val="14EB6229"/>
    <w:rsid w:val="150C2C5E"/>
    <w:rsid w:val="155B197F"/>
    <w:rsid w:val="15964818"/>
    <w:rsid w:val="15AE27FD"/>
    <w:rsid w:val="15BE4FB7"/>
    <w:rsid w:val="15FE2ECC"/>
    <w:rsid w:val="164A7C99"/>
    <w:rsid w:val="165826DC"/>
    <w:rsid w:val="165A7415"/>
    <w:rsid w:val="1707367D"/>
    <w:rsid w:val="18DE2275"/>
    <w:rsid w:val="193208CA"/>
    <w:rsid w:val="19CB70D4"/>
    <w:rsid w:val="1A25129B"/>
    <w:rsid w:val="1A966293"/>
    <w:rsid w:val="1AB05F4B"/>
    <w:rsid w:val="1B0C4E83"/>
    <w:rsid w:val="1B407E83"/>
    <w:rsid w:val="1C2362A8"/>
    <w:rsid w:val="1C9A6310"/>
    <w:rsid w:val="1CFC67B9"/>
    <w:rsid w:val="1D09444D"/>
    <w:rsid w:val="1D27086D"/>
    <w:rsid w:val="1D3C3AC6"/>
    <w:rsid w:val="1D8428F3"/>
    <w:rsid w:val="1DDD5320"/>
    <w:rsid w:val="1E340C41"/>
    <w:rsid w:val="1E533711"/>
    <w:rsid w:val="1ECB5101"/>
    <w:rsid w:val="1F261536"/>
    <w:rsid w:val="1F42113B"/>
    <w:rsid w:val="1F615FC1"/>
    <w:rsid w:val="1F642E60"/>
    <w:rsid w:val="1F951D54"/>
    <w:rsid w:val="1FB62670"/>
    <w:rsid w:val="20351648"/>
    <w:rsid w:val="203D6234"/>
    <w:rsid w:val="208E27DD"/>
    <w:rsid w:val="20AE2EE3"/>
    <w:rsid w:val="20FA07DA"/>
    <w:rsid w:val="20FF5771"/>
    <w:rsid w:val="21016B4C"/>
    <w:rsid w:val="2149569B"/>
    <w:rsid w:val="214F3910"/>
    <w:rsid w:val="21627873"/>
    <w:rsid w:val="218A327B"/>
    <w:rsid w:val="219366B8"/>
    <w:rsid w:val="222B64F7"/>
    <w:rsid w:val="229654CA"/>
    <w:rsid w:val="22B20386"/>
    <w:rsid w:val="22E17041"/>
    <w:rsid w:val="23447230"/>
    <w:rsid w:val="23453447"/>
    <w:rsid w:val="23973588"/>
    <w:rsid w:val="23D90E5E"/>
    <w:rsid w:val="240B3EE3"/>
    <w:rsid w:val="242722B1"/>
    <w:rsid w:val="24276EE7"/>
    <w:rsid w:val="247A40DF"/>
    <w:rsid w:val="24D43819"/>
    <w:rsid w:val="24E7701D"/>
    <w:rsid w:val="250F1BAE"/>
    <w:rsid w:val="2565306F"/>
    <w:rsid w:val="25761CD5"/>
    <w:rsid w:val="2580179A"/>
    <w:rsid w:val="25F816F3"/>
    <w:rsid w:val="26160A06"/>
    <w:rsid w:val="2628021F"/>
    <w:rsid w:val="26305539"/>
    <w:rsid w:val="263C56CF"/>
    <w:rsid w:val="2768027B"/>
    <w:rsid w:val="27692651"/>
    <w:rsid w:val="27AC1848"/>
    <w:rsid w:val="27BB57C5"/>
    <w:rsid w:val="27C148A5"/>
    <w:rsid w:val="27ED7549"/>
    <w:rsid w:val="2804523C"/>
    <w:rsid w:val="281B0CD1"/>
    <w:rsid w:val="28B3337A"/>
    <w:rsid w:val="28B40891"/>
    <w:rsid w:val="296236AF"/>
    <w:rsid w:val="297B5854"/>
    <w:rsid w:val="29E777B5"/>
    <w:rsid w:val="2A261D85"/>
    <w:rsid w:val="2A2D6AB9"/>
    <w:rsid w:val="2A720B27"/>
    <w:rsid w:val="2ADF36D0"/>
    <w:rsid w:val="2B8B4DA5"/>
    <w:rsid w:val="2B9D7E25"/>
    <w:rsid w:val="2C815051"/>
    <w:rsid w:val="2C8B4328"/>
    <w:rsid w:val="2C9D45DF"/>
    <w:rsid w:val="2CE34607"/>
    <w:rsid w:val="2D0235FB"/>
    <w:rsid w:val="2D405D1C"/>
    <w:rsid w:val="2D932117"/>
    <w:rsid w:val="2E4059D2"/>
    <w:rsid w:val="2E893CCC"/>
    <w:rsid w:val="2E8A5CB8"/>
    <w:rsid w:val="2F0401BB"/>
    <w:rsid w:val="2F147721"/>
    <w:rsid w:val="2F300FB0"/>
    <w:rsid w:val="2F565FD1"/>
    <w:rsid w:val="2F9E3C0C"/>
    <w:rsid w:val="2FF63FA8"/>
    <w:rsid w:val="30223E1E"/>
    <w:rsid w:val="30653101"/>
    <w:rsid w:val="30D616E4"/>
    <w:rsid w:val="30EC379B"/>
    <w:rsid w:val="31692558"/>
    <w:rsid w:val="31AF440F"/>
    <w:rsid w:val="32096215"/>
    <w:rsid w:val="3212137C"/>
    <w:rsid w:val="324059AE"/>
    <w:rsid w:val="327B3A37"/>
    <w:rsid w:val="332D5984"/>
    <w:rsid w:val="342509B8"/>
    <w:rsid w:val="349F7E72"/>
    <w:rsid w:val="34CC10FE"/>
    <w:rsid w:val="34D5653D"/>
    <w:rsid w:val="34FC7B76"/>
    <w:rsid w:val="35293D8E"/>
    <w:rsid w:val="35525DBF"/>
    <w:rsid w:val="355C3FAB"/>
    <w:rsid w:val="3566572C"/>
    <w:rsid w:val="35731BF7"/>
    <w:rsid w:val="35887450"/>
    <w:rsid w:val="35F93AA0"/>
    <w:rsid w:val="35FE4E42"/>
    <w:rsid w:val="364370ED"/>
    <w:rsid w:val="370421C1"/>
    <w:rsid w:val="370451FC"/>
    <w:rsid w:val="37444B4C"/>
    <w:rsid w:val="37BF0FAF"/>
    <w:rsid w:val="37FD1CF0"/>
    <w:rsid w:val="38671AF4"/>
    <w:rsid w:val="389A116C"/>
    <w:rsid w:val="38AE066C"/>
    <w:rsid w:val="39181AAE"/>
    <w:rsid w:val="39C17EE2"/>
    <w:rsid w:val="3A126F41"/>
    <w:rsid w:val="3A2474F9"/>
    <w:rsid w:val="3A464A7C"/>
    <w:rsid w:val="3A465B2C"/>
    <w:rsid w:val="3A6A19D0"/>
    <w:rsid w:val="3A815BEE"/>
    <w:rsid w:val="3A816FB3"/>
    <w:rsid w:val="3AB8317A"/>
    <w:rsid w:val="3B3F2CA7"/>
    <w:rsid w:val="3BC7455E"/>
    <w:rsid w:val="3C2C1891"/>
    <w:rsid w:val="3C365500"/>
    <w:rsid w:val="3C7468DD"/>
    <w:rsid w:val="3CDC4A97"/>
    <w:rsid w:val="3CFF1079"/>
    <w:rsid w:val="3DA36568"/>
    <w:rsid w:val="3DAF1779"/>
    <w:rsid w:val="3DF46889"/>
    <w:rsid w:val="3DF75E51"/>
    <w:rsid w:val="3E201FEF"/>
    <w:rsid w:val="3E464127"/>
    <w:rsid w:val="3EC11C25"/>
    <w:rsid w:val="3EC51A02"/>
    <w:rsid w:val="40311165"/>
    <w:rsid w:val="406D237C"/>
    <w:rsid w:val="40945C09"/>
    <w:rsid w:val="40FB4CEF"/>
    <w:rsid w:val="411058AE"/>
    <w:rsid w:val="41BC1732"/>
    <w:rsid w:val="41C061C4"/>
    <w:rsid w:val="42057CA2"/>
    <w:rsid w:val="423350D1"/>
    <w:rsid w:val="43205EF4"/>
    <w:rsid w:val="43573E94"/>
    <w:rsid w:val="43627942"/>
    <w:rsid w:val="43823D3A"/>
    <w:rsid w:val="43C527B0"/>
    <w:rsid w:val="43D30295"/>
    <w:rsid w:val="445155AC"/>
    <w:rsid w:val="4454199A"/>
    <w:rsid w:val="44823CAD"/>
    <w:rsid w:val="44C77869"/>
    <w:rsid w:val="44D51F86"/>
    <w:rsid w:val="451A110B"/>
    <w:rsid w:val="453F38A4"/>
    <w:rsid w:val="45C85647"/>
    <w:rsid w:val="461A688B"/>
    <w:rsid w:val="465C7DDA"/>
    <w:rsid w:val="467F22B3"/>
    <w:rsid w:val="46CD2249"/>
    <w:rsid w:val="472471F5"/>
    <w:rsid w:val="47BB33BC"/>
    <w:rsid w:val="48B62722"/>
    <w:rsid w:val="48F4603B"/>
    <w:rsid w:val="48FD0612"/>
    <w:rsid w:val="49217800"/>
    <w:rsid w:val="49311755"/>
    <w:rsid w:val="49D81B5C"/>
    <w:rsid w:val="4A3F4EF8"/>
    <w:rsid w:val="4A9728A4"/>
    <w:rsid w:val="4AE637A8"/>
    <w:rsid w:val="4B2064B0"/>
    <w:rsid w:val="4B700C5B"/>
    <w:rsid w:val="4B8E2E8F"/>
    <w:rsid w:val="4BE54907"/>
    <w:rsid w:val="4BED65A4"/>
    <w:rsid w:val="4BF7083F"/>
    <w:rsid w:val="4C1660D7"/>
    <w:rsid w:val="4C575F54"/>
    <w:rsid w:val="4C6F0F12"/>
    <w:rsid w:val="4CCD7157"/>
    <w:rsid w:val="4CD264C8"/>
    <w:rsid w:val="4D003DBE"/>
    <w:rsid w:val="4D3C1BA8"/>
    <w:rsid w:val="4D9B65DC"/>
    <w:rsid w:val="4DA9413D"/>
    <w:rsid w:val="4E4B21B6"/>
    <w:rsid w:val="4EF84412"/>
    <w:rsid w:val="4F7F1400"/>
    <w:rsid w:val="4FB5368D"/>
    <w:rsid w:val="4FC97E53"/>
    <w:rsid w:val="4FF26FB6"/>
    <w:rsid w:val="5040703F"/>
    <w:rsid w:val="5052771E"/>
    <w:rsid w:val="508B6C5A"/>
    <w:rsid w:val="50F036FE"/>
    <w:rsid w:val="5221340A"/>
    <w:rsid w:val="522D631E"/>
    <w:rsid w:val="526862D8"/>
    <w:rsid w:val="52C55738"/>
    <w:rsid w:val="52EB6289"/>
    <w:rsid w:val="53D53105"/>
    <w:rsid w:val="53E37769"/>
    <w:rsid w:val="543F7C82"/>
    <w:rsid w:val="547B0177"/>
    <w:rsid w:val="54CA67D3"/>
    <w:rsid w:val="54ED021B"/>
    <w:rsid w:val="54EE4DB8"/>
    <w:rsid w:val="55003FC5"/>
    <w:rsid w:val="551774D8"/>
    <w:rsid w:val="55234E65"/>
    <w:rsid w:val="5539030F"/>
    <w:rsid w:val="559641A4"/>
    <w:rsid w:val="56A61B09"/>
    <w:rsid w:val="56E04F89"/>
    <w:rsid w:val="56EE428E"/>
    <w:rsid w:val="57472062"/>
    <w:rsid w:val="58386E7C"/>
    <w:rsid w:val="58466FCB"/>
    <w:rsid w:val="58603507"/>
    <w:rsid w:val="59232E69"/>
    <w:rsid w:val="593140B6"/>
    <w:rsid w:val="59AB14DB"/>
    <w:rsid w:val="5A635A06"/>
    <w:rsid w:val="5B14581D"/>
    <w:rsid w:val="5B7200D7"/>
    <w:rsid w:val="5C2018E1"/>
    <w:rsid w:val="5CAA62EA"/>
    <w:rsid w:val="5CB158F9"/>
    <w:rsid w:val="5D0B39B4"/>
    <w:rsid w:val="5D283BE6"/>
    <w:rsid w:val="5D3C099D"/>
    <w:rsid w:val="5D5C57DE"/>
    <w:rsid w:val="5D9B31CA"/>
    <w:rsid w:val="5E127950"/>
    <w:rsid w:val="5E2B7874"/>
    <w:rsid w:val="5EB50A07"/>
    <w:rsid w:val="5F6F2E36"/>
    <w:rsid w:val="5F874D0B"/>
    <w:rsid w:val="5F95039C"/>
    <w:rsid w:val="602E6E28"/>
    <w:rsid w:val="60492360"/>
    <w:rsid w:val="60686E71"/>
    <w:rsid w:val="60A07495"/>
    <w:rsid w:val="610417D1"/>
    <w:rsid w:val="61AC5E38"/>
    <w:rsid w:val="6206024F"/>
    <w:rsid w:val="63253392"/>
    <w:rsid w:val="63306AC8"/>
    <w:rsid w:val="639F57E1"/>
    <w:rsid w:val="64270809"/>
    <w:rsid w:val="642B176B"/>
    <w:rsid w:val="642E4834"/>
    <w:rsid w:val="64473109"/>
    <w:rsid w:val="64502F80"/>
    <w:rsid w:val="645C39D7"/>
    <w:rsid w:val="64615C38"/>
    <w:rsid w:val="64872E45"/>
    <w:rsid w:val="64B87748"/>
    <w:rsid w:val="65301C35"/>
    <w:rsid w:val="6540205D"/>
    <w:rsid w:val="654D77C7"/>
    <w:rsid w:val="65CD5122"/>
    <w:rsid w:val="661D0FFC"/>
    <w:rsid w:val="6689778C"/>
    <w:rsid w:val="671C062A"/>
    <w:rsid w:val="6720549B"/>
    <w:rsid w:val="67C9107F"/>
    <w:rsid w:val="67E43A0E"/>
    <w:rsid w:val="680D44B2"/>
    <w:rsid w:val="68235FEA"/>
    <w:rsid w:val="68921DB9"/>
    <w:rsid w:val="689C3B96"/>
    <w:rsid w:val="69683DA6"/>
    <w:rsid w:val="69AA4A11"/>
    <w:rsid w:val="6A9C6F1F"/>
    <w:rsid w:val="6AB02677"/>
    <w:rsid w:val="6B644B4D"/>
    <w:rsid w:val="6B6B77CC"/>
    <w:rsid w:val="6B9B753F"/>
    <w:rsid w:val="6BB50693"/>
    <w:rsid w:val="6BC7362F"/>
    <w:rsid w:val="6BEB59B5"/>
    <w:rsid w:val="6C472EBA"/>
    <w:rsid w:val="6D331DAE"/>
    <w:rsid w:val="6E1C72AA"/>
    <w:rsid w:val="6ECC3E0B"/>
    <w:rsid w:val="6F0B3704"/>
    <w:rsid w:val="70B7060E"/>
    <w:rsid w:val="71290D1D"/>
    <w:rsid w:val="71AD37BF"/>
    <w:rsid w:val="724E7158"/>
    <w:rsid w:val="726E0125"/>
    <w:rsid w:val="727C0FD4"/>
    <w:rsid w:val="72C575CC"/>
    <w:rsid w:val="730974BC"/>
    <w:rsid w:val="731316CC"/>
    <w:rsid w:val="733D6C5B"/>
    <w:rsid w:val="734359D5"/>
    <w:rsid w:val="73573E3E"/>
    <w:rsid w:val="73CB1AF9"/>
    <w:rsid w:val="741B2C62"/>
    <w:rsid w:val="743021D2"/>
    <w:rsid w:val="743A075B"/>
    <w:rsid w:val="74571348"/>
    <w:rsid w:val="74BC2628"/>
    <w:rsid w:val="74CF212A"/>
    <w:rsid w:val="74D177C5"/>
    <w:rsid w:val="7514585B"/>
    <w:rsid w:val="7518387B"/>
    <w:rsid w:val="75205BC0"/>
    <w:rsid w:val="754E7067"/>
    <w:rsid w:val="75F603CF"/>
    <w:rsid w:val="761C2DC8"/>
    <w:rsid w:val="766F017D"/>
    <w:rsid w:val="767514C2"/>
    <w:rsid w:val="76891462"/>
    <w:rsid w:val="769E69E0"/>
    <w:rsid w:val="76B4114C"/>
    <w:rsid w:val="76C4268E"/>
    <w:rsid w:val="76C859AF"/>
    <w:rsid w:val="774C599D"/>
    <w:rsid w:val="77623D4D"/>
    <w:rsid w:val="77BD6850"/>
    <w:rsid w:val="77D71596"/>
    <w:rsid w:val="78145441"/>
    <w:rsid w:val="78491E93"/>
    <w:rsid w:val="785F119B"/>
    <w:rsid w:val="7863107C"/>
    <w:rsid w:val="78D13FDA"/>
    <w:rsid w:val="790C7D82"/>
    <w:rsid w:val="790E2D96"/>
    <w:rsid w:val="7A313562"/>
    <w:rsid w:val="7A561DDD"/>
    <w:rsid w:val="7A5F0F13"/>
    <w:rsid w:val="7A844AF8"/>
    <w:rsid w:val="7AC7566A"/>
    <w:rsid w:val="7ACB6851"/>
    <w:rsid w:val="7AFA4D2B"/>
    <w:rsid w:val="7B9E6857"/>
    <w:rsid w:val="7CA7624C"/>
    <w:rsid w:val="7CD1448D"/>
    <w:rsid w:val="7CDA64EC"/>
    <w:rsid w:val="7D005642"/>
    <w:rsid w:val="7D27595F"/>
    <w:rsid w:val="7DA1727D"/>
    <w:rsid w:val="7DC0487A"/>
    <w:rsid w:val="7DC7733A"/>
    <w:rsid w:val="7E471C13"/>
    <w:rsid w:val="7E61558C"/>
    <w:rsid w:val="7EAE37FE"/>
    <w:rsid w:val="7EAF19AB"/>
    <w:rsid w:val="7F224767"/>
    <w:rsid w:val="7F590D7B"/>
    <w:rsid w:val="7F6233A6"/>
    <w:rsid w:val="7F682353"/>
    <w:rsid w:val="7F892326"/>
    <w:rsid w:val="7F922F52"/>
    <w:rsid w:val="7FAE03E1"/>
    <w:rsid w:val="7FAF6350"/>
    <w:rsid w:val="7FEC2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00" w:firstLineChars="200"/>
      <w:jc w:val="both"/>
    </w:pPr>
    <w:rPr>
      <w:rFonts w:ascii="Calibri" w:hAnsi="Calibri" w:eastAsia="仿宋_GB2312" w:cs="黑体"/>
      <w:kern w:val="2"/>
      <w:sz w:val="28"/>
      <w:szCs w:val="22"/>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qFormat/>
    <w:uiPriority w:val="1"/>
    <w:pPr>
      <w:ind w:left="760"/>
      <w:outlineLvl w:val="2"/>
    </w:pPr>
    <w:rPr>
      <w:rFonts w:ascii="仿宋_GB2312" w:hAnsi="仿宋_GB2312" w:eastAsia="仿宋_GB2312" w:cs="仿宋_GB2312"/>
      <w:b/>
      <w:bCs/>
      <w:sz w:val="32"/>
      <w:szCs w:val="32"/>
      <w:lang w:val="zh-CN" w:eastAsia="zh-CN" w:bidi="zh-CN"/>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8">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4"/>
    <w:qFormat/>
    <w:uiPriority w:val="0"/>
    <w:pPr>
      <w:widowControl w:val="0"/>
      <w:shd w:val="clear" w:color="auto" w:fill="FFFFFF"/>
      <w:spacing w:line="595" w:lineRule="exact"/>
      <w:ind w:firstLine="200" w:firstLineChars="200"/>
      <w:jc w:val="distribute"/>
    </w:pPr>
    <w:rPr>
      <w:rFonts w:ascii="方正仿宋_GBK" w:hAnsi="方正仿宋_GBK" w:eastAsia="方正仿宋_GBK" w:cs="方正仿宋_GBK"/>
      <w:kern w:val="2"/>
      <w:sz w:val="20"/>
      <w:szCs w:val="20"/>
      <w:lang w:val="zh-CN" w:eastAsia="zh-CN" w:bidi="zh-CN"/>
    </w:rPr>
  </w:style>
  <w:style w:type="paragraph" w:styleId="3">
    <w:name w:val="Body Text"/>
    <w:basedOn w:val="1"/>
    <w:next w:val="4"/>
    <w:link w:val="25"/>
    <w:qFormat/>
    <w:uiPriority w:val="1"/>
    <w:rPr>
      <w:rFonts w:ascii="仿宋_GB2312" w:hAnsi="仿宋_GB2312" w:eastAsia="仿宋_GB2312" w:cs="仿宋_GB2312"/>
      <w:sz w:val="32"/>
      <w:szCs w:val="32"/>
      <w:lang w:val="zh-CN" w:eastAsia="zh-CN" w:bidi="zh-CN"/>
    </w:rPr>
  </w:style>
  <w:style w:type="paragraph" w:styleId="4">
    <w:name w:val="footer"/>
    <w:basedOn w:val="1"/>
    <w:next w:val="1"/>
    <w:qFormat/>
    <w:uiPriority w:val="0"/>
    <w:pPr>
      <w:tabs>
        <w:tab w:val="center" w:pos="4153"/>
        <w:tab w:val="right" w:pos="8306"/>
      </w:tabs>
      <w:snapToGrid w:val="0"/>
      <w:jc w:val="left"/>
    </w:pPr>
    <w:rPr>
      <w:rFonts w:ascii="宋体" w:hAnsi="宋体" w:eastAsia="宋体" w:cs="宋体"/>
      <w:sz w:val="28"/>
      <w:szCs w:val="28"/>
    </w:rPr>
  </w:style>
  <w:style w:type="paragraph" w:styleId="9">
    <w:name w:val="annotation text"/>
    <w:basedOn w:val="1"/>
    <w:link w:val="28"/>
    <w:unhideWhenUsed/>
    <w:qFormat/>
    <w:uiPriority w:val="99"/>
    <w:rPr>
      <w:rFonts w:ascii="Calibri" w:hAnsi="Calibri" w:cs="Times New Roman"/>
      <w:kern w:val="0"/>
      <w:sz w:val="20"/>
      <w:szCs w:val="20"/>
    </w:rPr>
  </w:style>
  <w:style w:type="paragraph" w:styleId="10">
    <w:name w:val="toc 3"/>
    <w:basedOn w:val="1"/>
    <w:next w:val="1"/>
    <w:qFormat/>
    <w:uiPriority w:val="0"/>
    <w:pPr>
      <w:ind w:left="840" w:leftChars="400"/>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unhideWhenUsed/>
    <w:qFormat/>
    <w:uiPriority w:val="39"/>
    <w:pPr>
      <w:spacing w:before="120" w:after="120"/>
      <w:jc w:val="left"/>
    </w:pPr>
    <w:rPr>
      <w:rFonts w:ascii="Calibri" w:hAnsi="Calibri" w:cs="Calibri"/>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Hyperlink"/>
    <w:basedOn w:val="17"/>
    <w:qFormat/>
    <w:uiPriority w:val="0"/>
    <w:rPr>
      <w:color w:val="0000FF"/>
      <w:u w:val="single"/>
    </w:rPr>
  </w:style>
  <w:style w:type="paragraph" w:customStyle="1" w:styleId="20">
    <w:name w:val="_Style 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1"/>
    <w:pPr>
      <w:ind w:left="1002" w:hanging="243"/>
    </w:pPr>
    <w:rPr>
      <w:rFonts w:ascii="仿宋_GB2312" w:hAnsi="仿宋_GB2312" w:eastAsia="仿宋_GB2312" w:cs="仿宋_GB2312"/>
      <w:lang w:val="zh-CN" w:eastAsia="zh-CN" w:bidi="zh-CN"/>
    </w:rPr>
  </w:style>
  <w:style w:type="paragraph" w:customStyle="1" w:styleId="22">
    <w:name w:val="Table Paragraph"/>
    <w:basedOn w:val="1"/>
    <w:qFormat/>
    <w:uiPriority w:val="1"/>
    <w:rPr>
      <w:rFonts w:ascii="宋体" w:hAnsi="宋体" w:eastAsia="宋体" w:cs="宋体"/>
      <w:lang w:val="zh-CN" w:eastAsia="zh-CN" w:bidi="zh-CN"/>
    </w:rPr>
  </w:style>
  <w:style w:type="paragraph" w:customStyle="1" w:styleId="23">
    <w:name w:val="闻政-正文段落文字"/>
    <w:basedOn w:val="1"/>
    <w:qFormat/>
    <w:uiPriority w:val="3"/>
    <w:pPr>
      <w:spacing w:line="500" w:lineRule="exact"/>
      <w:ind w:firstLine="200"/>
    </w:pPr>
    <w:rPr>
      <w:rFonts w:ascii="Times New Roman" w:hAnsi="Times New Roman" w:cs="Times New Roman"/>
      <w:kern w:val="0"/>
      <w:szCs w:val="28"/>
    </w:rPr>
  </w:style>
  <w:style w:type="paragraph" w:customStyle="1" w:styleId="24">
    <w:name w:val="闻政正文"/>
    <w:basedOn w:val="1"/>
    <w:qFormat/>
    <w:uiPriority w:val="99"/>
    <w:pPr>
      <w:spacing w:line="500" w:lineRule="exact"/>
      <w:ind w:firstLine="560" w:firstLineChars="200"/>
    </w:pPr>
    <w:rPr>
      <w:rFonts w:ascii="Times New Roman" w:hAnsi="Times New Roman" w:eastAsia="仿宋_GB2312"/>
      <w:kern w:val="0"/>
      <w:sz w:val="28"/>
      <w:szCs w:val="28"/>
    </w:rPr>
  </w:style>
  <w:style w:type="character" w:customStyle="1" w:styleId="25">
    <w:name w:val="正文文本 Char"/>
    <w:link w:val="3"/>
    <w:qFormat/>
    <w:uiPriority w:val="1"/>
    <w:rPr>
      <w:rFonts w:ascii="仿宋_GB2312" w:hAnsi="仿宋_GB2312" w:eastAsia="仿宋_GB2312" w:cs="仿宋_GB2312"/>
      <w:sz w:val="32"/>
      <w:szCs w:val="32"/>
      <w:lang w:val="zh-CN" w:eastAsia="zh-CN" w:bidi="zh-CN"/>
    </w:rPr>
  </w:style>
  <w:style w:type="paragraph" w:customStyle="1" w:styleId="26">
    <w:name w:val="闻政-正文一级标题"/>
    <w:basedOn w:val="7"/>
    <w:next w:val="23"/>
    <w:qFormat/>
    <w:uiPriority w:val="3"/>
    <w:pPr>
      <w:spacing w:before="120" w:after="60" w:line="500" w:lineRule="exact"/>
      <w:ind w:firstLine="0" w:firstLineChars="0"/>
      <w:outlineLvl w:val="0"/>
    </w:pPr>
    <w:rPr>
      <w:rFonts w:ascii="黑体" w:hAnsi="黑体" w:eastAsia="黑体"/>
      <w:sz w:val="32"/>
    </w:rPr>
  </w:style>
  <w:style w:type="paragraph" w:customStyle="1" w:styleId="27">
    <w:name w:val="闻政-正文二级标题"/>
    <w:basedOn w:val="6"/>
    <w:next w:val="23"/>
    <w:qFormat/>
    <w:uiPriority w:val="3"/>
    <w:pPr>
      <w:spacing w:before="120" w:after="60" w:line="500" w:lineRule="exact"/>
      <w:ind w:left="200" w:leftChars="200" w:firstLine="0" w:firstLineChars="0"/>
    </w:pPr>
    <w:rPr>
      <w:rFonts w:ascii="Times New Roman" w:hAnsi="Times New Roman"/>
      <w:sz w:val="28"/>
    </w:rPr>
  </w:style>
  <w:style w:type="character" w:customStyle="1" w:styleId="28">
    <w:name w:val="批注文字 字符"/>
    <w:basedOn w:val="17"/>
    <w:link w:val="9"/>
    <w:qFormat/>
    <w:uiPriority w:val="0"/>
    <w:rPr>
      <w:rFonts w:hint="default" w:ascii="Calibri" w:hAnsi="Calibri" w:eastAsia="仿宋_GB2312" w:cs="Calibri"/>
      <w:lang w:bidi="ar"/>
    </w:rPr>
  </w:style>
  <w:style w:type="paragraph" w:customStyle="1" w:styleId="29">
    <w:name w:val="FZ表格标题行首列"/>
    <w:basedOn w:val="1"/>
    <w:qFormat/>
    <w:uiPriority w:val="0"/>
    <w:pPr>
      <w:snapToGrid w:val="0"/>
      <w:spacing w:before="10" w:after="10"/>
      <w:ind w:left="1" w:leftChars="1" w:right="1" w:rightChars="1" w:firstLine="74" w:firstLineChars="50"/>
      <w:jc w:val="left"/>
    </w:pPr>
    <w:rPr>
      <w:rFonts w:ascii="宋体" w:hAnsi="宋体" w:eastAsia="宋体"/>
      <w:color w:val="000000"/>
      <w:sz w:val="18"/>
    </w:rPr>
  </w:style>
  <w:style w:type="paragraph" w:customStyle="1" w:styleId="30">
    <w:name w:val="FZ表格标题行"/>
    <w:basedOn w:val="1"/>
    <w:qFormat/>
    <w:uiPriority w:val="0"/>
    <w:pPr>
      <w:snapToGrid w:val="0"/>
      <w:spacing w:before="10" w:after="10"/>
      <w:ind w:left="1" w:leftChars="1" w:right="1" w:rightChars="1" w:firstLine="74" w:firstLineChars="74"/>
      <w:jc w:val="center"/>
    </w:pPr>
    <w:rPr>
      <w:rFonts w:ascii="宋体" w:hAnsi="宋体" w:eastAsia="宋体"/>
      <w:color w:val="000000"/>
      <w:sz w:val="18"/>
    </w:rPr>
  </w:style>
  <w:style w:type="paragraph" w:customStyle="1" w:styleId="31">
    <w:name w:val="FZ标题3"/>
    <w:basedOn w:val="7"/>
    <w:qFormat/>
    <w:uiPriority w:val="0"/>
    <w:pPr>
      <w:keepNext w:val="0"/>
      <w:keepLines w:val="0"/>
      <w:snapToGrid w:val="0"/>
      <w:spacing w:before="0" w:beforeLines="50" w:after="0" w:line="360" w:lineRule="auto"/>
      <w:ind w:left="1" w:leftChars="1" w:right="1" w:rightChars="1" w:firstLine="200" w:firstLineChars="200"/>
      <w:jc w:val="left"/>
    </w:pPr>
    <w:rPr>
      <w:rFonts w:ascii="宋体" w:hAnsi="宋体" w:eastAsia="仿宋_GB2312" w:cstheme="majorBidi"/>
      <w:color w:val="000000"/>
      <w:sz w:val="28"/>
    </w:rPr>
  </w:style>
  <w:style w:type="paragraph" w:customStyle="1" w:styleId="32">
    <w:name w:val="FZ正文"/>
    <w:basedOn w:val="1"/>
    <w:qFormat/>
    <w:uiPriority w:val="0"/>
    <w:pPr>
      <w:snapToGrid w:val="0"/>
      <w:spacing w:line="360" w:lineRule="auto"/>
      <w:ind w:left="1" w:leftChars="1" w:right="1" w:rightChars="1" w:firstLine="200" w:firstLineChars="200"/>
    </w:pPr>
    <w:rPr>
      <w:rFonts w:ascii="Times New Roman" w:hAnsi="Times New Roman" w:eastAsia="仿宋_GB2312" w:cs="Times New Roman"/>
      <w:color w:val="000000"/>
      <w:sz w:val="28"/>
    </w:rPr>
  </w:style>
  <w:style w:type="paragraph" w:customStyle="1" w:styleId="33">
    <w:name w:val="FZ副标题"/>
    <w:basedOn w:val="1"/>
    <w:qFormat/>
    <w:uiPriority w:val="0"/>
    <w:pPr>
      <w:snapToGrid w:val="0"/>
      <w:spacing w:beforeLines="50"/>
      <w:ind w:left="1" w:leftChars="1" w:right="1" w:rightChars="1" w:firstLine="1" w:firstLineChars="1"/>
      <w:jc w:val="center"/>
    </w:pPr>
    <w:rPr>
      <w:rFonts w:ascii="宋体" w:hAnsi="宋体" w:eastAsia="仿宋_GB2312"/>
      <w:color w:val="000000"/>
      <w:sz w:val="28"/>
    </w:rPr>
  </w:style>
  <w:style w:type="paragraph" w:customStyle="1" w:styleId="34">
    <w:name w:val="FZ表格正文行首列"/>
    <w:basedOn w:val="1"/>
    <w:qFormat/>
    <w:uiPriority w:val="0"/>
    <w:pPr>
      <w:snapToGrid w:val="0"/>
      <w:spacing w:before="10" w:after="10"/>
      <w:ind w:left="1" w:leftChars="1" w:right="1" w:rightChars="1" w:firstLine="50" w:firstLineChars="50"/>
      <w:jc w:val="left"/>
    </w:pPr>
    <w:rPr>
      <w:rFonts w:ascii="宋体" w:hAnsi="宋体" w:eastAsia="宋体"/>
      <w:color w:val="000000"/>
      <w:sz w:val="18"/>
    </w:rPr>
  </w:style>
  <w:style w:type="paragraph" w:customStyle="1" w:styleId="35">
    <w:name w:val="FZ表格正文行"/>
    <w:basedOn w:val="1"/>
    <w:qFormat/>
    <w:uiPriority w:val="0"/>
    <w:pPr>
      <w:snapToGrid w:val="0"/>
      <w:spacing w:before="10" w:after="10"/>
      <w:ind w:left="1" w:leftChars="1" w:right="1" w:rightChars="50" w:firstLine="74" w:firstLineChars="50"/>
      <w:jc w:val="right"/>
    </w:pPr>
    <w:rPr>
      <w:rFonts w:ascii="Times New Roman" w:hAnsi="Times New Roman" w:eastAsia="宋体"/>
      <w:color w:val="000000"/>
      <w:sz w:val="18"/>
    </w:rPr>
  </w:style>
  <w:style w:type="table" w:customStyle="1" w:styleId="36">
    <w:name w:val="表格样式1"/>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9361</Words>
  <Characters>9743</Characters>
  <Lines>0</Lines>
  <Paragraphs>0</Paragraphs>
  <TotalTime>0</TotalTime>
  <ScaleCrop>false</ScaleCrop>
  <LinksUpToDate>false</LinksUpToDate>
  <CharactersWithSpaces>9773</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2021-07-11T09:52:00Z</dcterms:created>
  <dc:creator>醜金寶QQ873133969</dc:creator>
  <cp:lastModifiedBy>Administrator</cp:lastModifiedBy>
  <dcterms:modified xsi:type="dcterms:W3CDTF">2026-08-26T04:30:36Z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FD567ECB44E34E00A40F1736095CB294</vt:lpwstr>
  </property>
  <property fmtid="{D5CDD505-2E9C-101B-9397-08002B2CF9AE}" pid="4" name="KSOSaveFontToCloudKey">
    <vt:lpwstr>1205343577_btnclosed</vt:lpwstr>
  </property>
  <property fmtid="{D5CDD505-2E9C-101B-9397-08002B2CF9AE}" pid="5" name="KSOTemplateDocerSaveRecord">
    <vt:lpwstr>eyJoZGlkIjoiNjkzOTYyOGIwZmFkNjE0NGFjYzI5OTQ0ODUzZDZkOWQiLCJ1c2VySWQiOiI0MjIxMDAzNzcifQ==</vt:lpwstr>
  </property>
</Properties>
</file>