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ind w:firstLine="0" w:firstLineChars="0"/>
        <w:jc w:val="center"/>
        <w:rPr>
          <w:rFonts w:eastAsia="宋体" w:cs="Times New Roman"/>
          <w:b/>
          <w:bCs/>
          <w:sz w:val="44"/>
          <w:szCs w:val="44"/>
        </w:rPr>
      </w:pPr>
    </w:p>
    <w:p>
      <w:pPr>
        <w:spacing w:line="720" w:lineRule="auto"/>
        <w:ind w:firstLine="0" w:firstLineChars="0"/>
        <w:jc w:val="center"/>
        <w:rPr>
          <w:rFonts w:eastAsia="宋体" w:cs="Times New Roman"/>
          <w:b/>
          <w:bCs/>
          <w:sz w:val="36"/>
          <w:szCs w:val="36"/>
        </w:rPr>
      </w:pPr>
      <w:r>
        <w:rPr>
          <w:rFonts w:hint="eastAsia" w:eastAsia="宋体" w:cs="Times New Roman"/>
          <w:b/>
          <w:bCs/>
          <w:sz w:val="36"/>
          <w:szCs w:val="36"/>
        </w:rPr>
        <w:t>第八批中国</w:t>
      </w:r>
      <w:r>
        <w:rPr>
          <w:rFonts w:eastAsia="宋体" w:cs="Times New Roman"/>
          <w:b/>
          <w:bCs/>
          <w:sz w:val="36"/>
          <w:szCs w:val="36"/>
        </w:rPr>
        <w:t>重要农业文化遗产</w:t>
      </w:r>
    </w:p>
    <w:p>
      <w:pPr>
        <w:spacing w:line="240" w:lineRule="auto"/>
        <w:ind w:firstLine="0" w:firstLineChars="0"/>
        <w:jc w:val="center"/>
        <w:rPr>
          <w:rFonts w:eastAsia="宋体" w:cs="Times New Roman"/>
          <w:b/>
          <w:bCs/>
          <w:sz w:val="44"/>
          <w:szCs w:val="44"/>
        </w:rPr>
      </w:pPr>
    </w:p>
    <w:p>
      <w:pPr>
        <w:spacing w:line="720" w:lineRule="auto"/>
        <w:ind w:firstLine="0" w:firstLineChars="0"/>
        <w:jc w:val="center"/>
        <w:rPr>
          <w:rFonts w:hint="eastAsia" w:ascii="方正小标宋简体" w:hAnsi="宋体" w:eastAsia="方正小标宋简体" w:cs="Times New Roman"/>
          <w:b/>
          <w:bCs/>
          <w:sz w:val="44"/>
          <w:szCs w:val="44"/>
        </w:rPr>
      </w:pPr>
      <w:r>
        <w:rPr>
          <w:rFonts w:hint="eastAsia" w:ascii="方正小标宋简体" w:hAnsi="宋体" w:eastAsia="方正小标宋简体" w:cs="Times New Roman"/>
          <w:b/>
          <w:bCs/>
          <w:sz w:val="44"/>
          <w:szCs w:val="44"/>
        </w:rPr>
        <w:t>新疆莎车巴旦</w:t>
      </w:r>
      <w:r>
        <w:rPr>
          <w:rFonts w:hint="eastAsia" w:ascii="方正小标宋简体" w:hAnsi="宋体" w:eastAsia="方正小标宋简体" w:cs="Times New Roman"/>
          <w:b/>
          <w:bCs/>
          <w:sz w:val="44"/>
          <w:szCs w:val="44"/>
          <w:lang w:eastAsia="zh-CN"/>
        </w:rPr>
        <w:t>姆</w:t>
      </w:r>
      <w:r>
        <w:rPr>
          <w:rFonts w:hint="eastAsia" w:ascii="方正小标宋简体" w:hAnsi="宋体" w:eastAsia="方正小标宋简体" w:cs="Times New Roman"/>
          <w:b/>
          <w:bCs/>
          <w:sz w:val="44"/>
          <w:szCs w:val="44"/>
        </w:rPr>
        <w:t>栽培系统</w:t>
      </w:r>
    </w:p>
    <w:p>
      <w:pPr>
        <w:spacing w:line="720" w:lineRule="auto"/>
        <w:ind w:firstLine="0" w:firstLineChars="0"/>
        <w:jc w:val="center"/>
        <w:rPr>
          <w:rFonts w:hint="eastAsia" w:ascii="方正小标宋简体" w:hAnsi="宋体" w:eastAsia="方正小标宋简体" w:cs="Times New Roman"/>
          <w:b/>
          <w:bCs/>
          <w:sz w:val="44"/>
          <w:szCs w:val="44"/>
        </w:rPr>
      </w:pPr>
      <w:r>
        <w:rPr>
          <w:rFonts w:hint="eastAsia" w:ascii="方正小标宋简体" w:hAnsi="宋体" w:eastAsia="方正小标宋简体" w:cs="Times New Roman"/>
          <w:b/>
          <w:bCs/>
          <w:sz w:val="44"/>
          <w:szCs w:val="44"/>
        </w:rPr>
        <w:t>传承发展三年行动计划</w:t>
      </w:r>
    </w:p>
    <w:p>
      <w:pPr>
        <w:spacing w:line="240" w:lineRule="auto"/>
        <w:ind w:firstLine="0" w:firstLineChars="0"/>
        <w:jc w:val="center"/>
        <w:rPr>
          <w:rFonts w:hint="eastAsia" w:ascii="方正小标宋简体" w:hAnsi="宋体" w:eastAsia="方正小标宋简体" w:cs="Times New Roman"/>
          <w:b/>
          <w:bCs/>
          <w:szCs w:val="32"/>
        </w:rPr>
      </w:pPr>
    </w:p>
    <w:p>
      <w:pPr>
        <w:spacing w:line="720" w:lineRule="auto"/>
        <w:ind w:firstLine="0" w:firstLineChars="0"/>
        <w:jc w:val="center"/>
        <w:rPr>
          <w:rFonts w:ascii="黑体" w:hAnsi="黑体" w:eastAsia="黑体" w:cs="Times New Roman"/>
          <w:b/>
          <w:bCs/>
          <w:sz w:val="44"/>
          <w:szCs w:val="44"/>
        </w:rPr>
      </w:pPr>
      <w:r>
        <w:rPr>
          <w:rFonts w:ascii="黑体" w:hAnsi="黑体" w:eastAsia="黑体" w:cs="Times New Roman"/>
          <w:b/>
          <w:bCs/>
          <w:sz w:val="44"/>
          <w:szCs w:val="44"/>
        </w:rPr>
        <w:t>（2026-20</w:t>
      </w:r>
      <w:r>
        <w:rPr>
          <w:rFonts w:hint="eastAsia" w:ascii="黑体" w:hAnsi="黑体" w:eastAsia="黑体" w:cs="Times New Roman"/>
          <w:b/>
          <w:bCs/>
          <w:sz w:val="44"/>
          <w:szCs w:val="44"/>
        </w:rPr>
        <w:t>28</w:t>
      </w:r>
      <w:r>
        <w:rPr>
          <w:rFonts w:ascii="黑体" w:hAnsi="黑体" w:eastAsia="黑体" w:cs="Times New Roman"/>
          <w:b/>
          <w:bCs/>
          <w:sz w:val="44"/>
          <w:szCs w:val="44"/>
        </w:rPr>
        <w:t>年）</w:t>
      </w:r>
    </w:p>
    <w:p>
      <w:pPr>
        <w:spacing w:line="720" w:lineRule="auto"/>
        <w:ind w:firstLine="0" w:firstLineChars="0"/>
        <w:jc w:val="center"/>
        <w:rPr>
          <w:rFonts w:eastAsia="宋体" w:cs="Times New Roman"/>
          <w:b/>
          <w:bCs/>
          <w:szCs w:val="32"/>
        </w:rPr>
      </w:pPr>
      <w:r>
        <w:rPr>
          <w:rFonts w:hint="eastAsia" w:eastAsia="宋体" w:cs="Times New Roman"/>
          <w:b/>
          <w:bCs/>
          <w:szCs w:val="32"/>
        </w:rPr>
        <w:t>征求意见稿</w:t>
      </w:r>
    </w:p>
    <w:p>
      <w:pPr>
        <w:spacing w:line="240" w:lineRule="auto"/>
        <w:ind w:firstLine="0" w:firstLineChars="0"/>
        <w:jc w:val="center"/>
        <w:rPr>
          <w:rFonts w:eastAsia="宋体" w:cs="Times New Roman"/>
          <w:b/>
          <w:bCs/>
          <w:szCs w:val="32"/>
        </w:rPr>
      </w:pPr>
    </w:p>
    <w:p>
      <w:pPr>
        <w:spacing w:line="240" w:lineRule="auto"/>
        <w:ind w:firstLine="0" w:firstLineChars="0"/>
        <w:jc w:val="center"/>
        <w:rPr>
          <w:rFonts w:eastAsia="宋体" w:cs="Times New Roman"/>
          <w:b/>
          <w:bCs/>
          <w:szCs w:val="32"/>
        </w:rPr>
      </w:pPr>
    </w:p>
    <w:p>
      <w:pPr>
        <w:spacing w:line="240" w:lineRule="auto"/>
        <w:ind w:firstLine="0" w:firstLineChars="0"/>
        <w:jc w:val="center"/>
        <w:rPr>
          <w:rFonts w:eastAsia="宋体" w:cs="Times New Roman"/>
          <w:b/>
          <w:bCs/>
          <w:szCs w:val="32"/>
        </w:rPr>
      </w:pPr>
    </w:p>
    <w:p>
      <w:pPr>
        <w:spacing w:line="240" w:lineRule="auto"/>
        <w:ind w:firstLine="0" w:firstLineChars="0"/>
        <w:jc w:val="center"/>
        <w:rPr>
          <w:rFonts w:hint="eastAsia" w:ascii="仿宋" w:hAnsi="仿宋" w:eastAsia="仿宋" w:cs="Times New Roman"/>
          <w:b/>
          <w:bCs/>
          <w:szCs w:val="32"/>
        </w:rPr>
      </w:pPr>
      <w:r>
        <w:rPr>
          <w:rFonts w:hint="eastAsia" w:ascii="仿宋" w:hAnsi="仿宋" w:eastAsia="仿宋" w:cs="Times New Roman"/>
          <w:b/>
          <w:bCs/>
          <w:szCs w:val="32"/>
        </w:rPr>
        <w:t>新疆维吾尔自治区</w:t>
      </w:r>
      <w:r>
        <w:rPr>
          <w:rFonts w:hint="eastAsia" w:ascii="仿宋" w:hAnsi="仿宋" w:eastAsia="仿宋" w:cs="Times New Roman"/>
          <w:b/>
          <w:bCs/>
          <w:szCs w:val="32"/>
          <w:lang w:eastAsia="zh-CN"/>
        </w:rPr>
        <w:t>喀什地区</w:t>
      </w:r>
      <w:bookmarkStart w:id="25" w:name="_GoBack"/>
      <w:bookmarkEnd w:id="25"/>
      <w:r>
        <w:rPr>
          <w:rFonts w:hint="eastAsia" w:ascii="仿宋" w:hAnsi="仿宋" w:eastAsia="仿宋" w:cs="Times New Roman"/>
          <w:b/>
          <w:bCs/>
          <w:szCs w:val="32"/>
        </w:rPr>
        <w:t>莎车县人民政府</w:t>
      </w:r>
    </w:p>
    <w:p>
      <w:pPr>
        <w:ind w:firstLine="0" w:firstLineChars="0"/>
        <w:jc w:val="center"/>
        <w:rPr>
          <w:rFonts w:hint="eastAsia" w:ascii="仿宋" w:hAnsi="仿宋" w:eastAsia="仿宋" w:cs="Times New Roman"/>
          <w:b/>
          <w:bCs/>
          <w:szCs w:val="32"/>
        </w:rPr>
      </w:pPr>
      <w:r>
        <w:rPr>
          <w:rFonts w:hint="eastAsia" w:ascii="仿宋" w:hAnsi="仿宋" w:eastAsia="仿宋" w:cs="Times New Roman"/>
          <w:b/>
          <w:bCs/>
          <w:szCs w:val="32"/>
        </w:rPr>
        <w:t>二〇二六年三月</w:t>
      </w:r>
    </w:p>
    <w:p>
      <w:pPr>
        <w:widowControl/>
        <w:spacing w:line="240" w:lineRule="auto"/>
        <w:ind w:firstLine="0" w:firstLineChars="0"/>
        <w:jc w:val="left"/>
        <w:rPr>
          <w:rFonts w:eastAsia="宋体" w:cs="Times New Roman"/>
          <w:b/>
          <w:bCs/>
          <w:szCs w:val="32"/>
        </w:rPr>
      </w:pPr>
      <w:r>
        <w:rPr>
          <w:rFonts w:eastAsia="宋体" w:cs="Times New Roman"/>
          <w:b/>
          <w:bCs/>
          <w:szCs w:val="32"/>
        </w:rPr>
        <w:br w:type="page"/>
      </w:r>
    </w:p>
    <w:sdt>
      <w:sdtPr>
        <w:rPr>
          <w:rFonts w:ascii="宋体" w:hAnsi="宋体" w:eastAsia="宋体"/>
          <w:sz w:val="21"/>
        </w:rPr>
        <w:id w:val="147481263"/>
        <w:docPartObj>
          <w:docPartGallery w:val="Table of Contents"/>
          <w:docPartUnique/>
        </w:docPartObj>
      </w:sdtPr>
      <w:sdtEndPr>
        <w:rPr>
          <w:rFonts w:hint="eastAsia" w:ascii="宋体" w:hAnsi="宋体" w:eastAsia="宋体"/>
          <w:b/>
          <w:sz w:val="32"/>
          <w:szCs w:val="36"/>
        </w:rPr>
      </w:sdtEndPr>
      <w:sdtContent>
        <w:p>
          <w:pPr>
            <w:spacing w:line="240" w:lineRule="auto"/>
            <w:ind w:firstLine="0" w:firstLineChars="0"/>
            <w:jc w:val="center"/>
            <w:rPr>
              <w:b/>
              <w:bCs/>
              <w:sz w:val="36"/>
              <w:szCs w:val="36"/>
            </w:rPr>
          </w:pPr>
          <w:r>
            <w:rPr>
              <w:rFonts w:ascii="宋体" w:hAnsi="宋体" w:eastAsia="宋体"/>
              <w:b/>
              <w:bCs/>
              <w:sz w:val="36"/>
              <w:szCs w:val="36"/>
            </w:rPr>
            <w:t>目录</w:t>
          </w:r>
        </w:p>
        <w:p>
          <w:pPr>
            <w:pStyle w:val="18"/>
            <w:tabs>
              <w:tab w:val="right" w:leader="dot" w:pos="9060"/>
            </w:tabs>
            <w:ind w:firstLine="528"/>
            <w:rPr>
              <w:rFonts w:hint="eastAsia" w:asciiTheme="minorHAnsi" w:hAnsiTheme="minorHAnsi" w:eastAsiaTheme="minorEastAsia"/>
              <w:b/>
              <w:bCs/>
              <w:sz w:val="22"/>
              <w:szCs w:val="24"/>
            </w:rPr>
          </w:pPr>
          <w:r>
            <w:rPr>
              <w:rFonts w:hint="eastAsia" w:ascii="宋体" w:hAnsi="宋体"/>
              <w:b/>
              <w:szCs w:val="36"/>
            </w:rPr>
            <w:fldChar w:fldCharType="begin"/>
          </w:r>
          <w:r>
            <w:rPr>
              <w:rFonts w:hint="eastAsia" w:ascii="宋体" w:hAnsi="宋体"/>
              <w:b/>
              <w:szCs w:val="36"/>
            </w:rPr>
            <w:instrText xml:space="preserve"> TOC \o "1-2" \h \z \u </w:instrText>
          </w:r>
          <w:r>
            <w:rPr>
              <w:rFonts w:hint="eastAsia" w:ascii="宋体" w:hAnsi="宋体"/>
              <w:b/>
              <w:szCs w:val="36"/>
            </w:rPr>
            <w:fldChar w:fldCharType="separate"/>
          </w:r>
          <w:r>
            <w:fldChar w:fldCharType="begin"/>
          </w:r>
          <w:r>
            <w:instrText xml:space="preserve"> HYPERLINK \l "_Toc224309326" </w:instrText>
          </w:r>
          <w:r>
            <w:fldChar w:fldCharType="separate"/>
          </w:r>
          <w:r>
            <w:rPr>
              <w:rStyle w:val="28"/>
              <w:rFonts w:hint="eastAsia"/>
              <w:b/>
              <w:bCs/>
            </w:rPr>
            <w:t>一、项目本体情况</w:t>
          </w:r>
          <w:r>
            <w:rPr>
              <w:rFonts w:hint="eastAsia"/>
              <w:b/>
              <w:bCs/>
            </w:rPr>
            <w:tab/>
          </w:r>
          <w:r>
            <w:rPr>
              <w:rFonts w:hint="eastAsia"/>
              <w:b/>
              <w:bCs/>
            </w:rPr>
            <w:fldChar w:fldCharType="begin"/>
          </w:r>
          <w:r>
            <w:rPr>
              <w:b/>
              <w:bCs/>
            </w:rPr>
            <w:instrText xml:space="preserve">PAGEREF _Toc224309326 \h</w:instrText>
          </w:r>
          <w:r>
            <w:rPr>
              <w:rFonts w:hint="eastAsia"/>
              <w:b/>
              <w:bCs/>
            </w:rPr>
            <w:fldChar w:fldCharType="separate"/>
          </w:r>
          <w:r>
            <w:rPr>
              <w:b/>
              <w:bCs/>
            </w:rPr>
            <w:t>3</w:t>
          </w:r>
          <w:r>
            <w:rPr>
              <w:rFonts w:hint="eastAsia"/>
              <w:b/>
              <w:bCs/>
            </w:rPr>
            <w:fldChar w:fldCharType="end"/>
          </w:r>
          <w:r>
            <w:rPr>
              <w:rFonts w:hint="eastAsia"/>
              <w:b/>
              <w:bCs/>
            </w:rPr>
            <w:fldChar w:fldCharType="end"/>
          </w:r>
        </w:p>
        <w:p>
          <w:pPr>
            <w:pStyle w:val="20"/>
            <w:tabs>
              <w:tab w:val="right" w:leader="dot" w:pos="9060"/>
            </w:tabs>
            <w:ind w:left="686" w:firstLine="526"/>
            <w:rPr>
              <w:rFonts w:hint="eastAsia" w:asciiTheme="minorHAnsi" w:hAnsiTheme="minorHAnsi" w:eastAsiaTheme="minorEastAsia"/>
              <w:b/>
              <w:bCs/>
              <w:sz w:val="22"/>
              <w:szCs w:val="24"/>
            </w:rPr>
          </w:pPr>
          <w:r>
            <w:fldChar w:fldCharType="begin"/>
          </w:r>
          <w:r>
            <w:instrText xml:space="preserve"> HYPERLINK \l "_Toc224309327" </w:instrText>
          </w:r>
          <w:r>
            <w:fldChar w:fldCharType="separate"/>
          </w:r>
          <w:r>
            <w:rPr>
              <w:rStyle w:val="28"/>
              <w:rFonts w:hint="eastAsia"/>
              <w:b/>
              <w:bCs/>
            </w:rPr>
            <w:t>（一）主要分布区域情况</w:t>
          </w:r>
          <w:r>
            <w:rPr>
              <w:rFonts w:hint="eastAsia"/>
              <w:b/>
              <w:bCs/>
            </w:rPr>
            <w:tab/>
          </w:r>
          <w:r>
            <w:rPr>
              <w:rFonts w:hint="eastAsia"/>
              <w:b/>
              <w:bCs/>
            </w:rPr>
            <w:fldChar w:fldCharType="begin"/>
          </w:r>
          <w:r>
            <w:rPr>
              <w:b/>
              <w:bCs/>
            </w:rPr>
            <w:instrText xml:space="preserve">PAGEREF _Toc224309327 \h</w:instrText>
          </w:r>
          <w:r>
            <w:rPr>
              <w:rFonts w:hint="eastAsia"/>
              <w:b/>
              <w:bCs/>
            </w:rPr>
            <w:fldChar w:fldCharType="separate"/>
          </w:r>
          <w:r>
            <w:rPr>
              <w:b/>
              <w:bCs/>
            </w:rPr>
            <w:t>3</w:t>
          </w:r>
          <w:r>
            <w:rPr>
              <w:rFonts w:hint="eastAsia"/>
              <w:b/>
              <w:bCs/>
            </w:rPr>
            <w:fldChar w:fldCharType="end"/>
          </w:r>
          <w:r>
            <w:rPr>
              <w:rFonts w:hint="eastAsia"/>
              <w:b/>
              <w:bCs/>
            </w:rPr>
            <w:fldChar w:fldCharType="end"/>
          </w:r>
        </w:p>
        <w:p>
          <w:pPr>
            <w:pStyle w:val="20"/>
            <w:tabs>
              <w:tab w:val="right" w:leader="dot" w:pos="9060"/>
            </w:tabs>
            <w:ind w:left="686" w:firstLine="526"/>
            <w:rPr>
              <w:rFonts w:hint="eastAsia" w:asciiTheme="minorHAnsi" w:hAnsiTheme="minorHAnsi" w:eastAsiaTheme="minorEastAsia"/>
              <w:b/>
              <w:bCs/>
              <w:sz w:val="22"/>
              <w:szCs w:val="24"/>
            </w:rPr>
          </w:pPr>
          <w:r>
            <w:fldChar w:fldCharType="begin"/>
          </w:r>
          <w:r>
            <w:instrText xml:space="preserve"> HYPERLINK \l "_Toc224309328" </w:instrText>
          </w:r>
          <w:r>
            <w:fldChar w:fldCharType="separate"/>
          </w:r>
          <w:r>
            <w:rPr>
              <w:rStyle w:val="28"/>
              <w:rFonts w:hint="eastAsia"/>
              <w:b/>
              <w:bCs/>
            </w:rPr>
            <w:t>（二）核心保护区域分布情况</w:t>
          </w:r>
          <w:r>
            <w:rPr>
              <w:rFonts w:hint="eastAsia"/>
              <w:b/>
              <w:bCs/>
            </w:rPr>
            <w:tab/>
          </w:r>
          <w:r>
            <w:rPr>
              <w:rFonts w:hint="eastAsia"/>
              <w:b/>
              <w:bCs/>
            </w:rPr>
            <w:fldChar w:fldCharType="begin"/>
          </w:r>
          <w:r>
            <w:rPr>
              <w:b/>
              <w:bCs/>
            </w:rPr>
            <w:instrText xml:space="preserve">PAGEREF _Toc224309328 \h</w:instrText>
          </w:r>
          <w:r>
            <w:rPr>
              <w:rFonts w:hint="eastAsia"/>
              <w:b/>
              <w:bCs/>
            </w:rPr>
            <w:fldChar w:fldCharType="separate"/>
          </w:r>
          <w:r>
            <w:rPr>
              <w:b/>
              <w:bCs/>
            </w:rPr>
            <w:t>4</w:t>
          </w:r>
          <w:r>
            <w:rPr>
              <w:rFonts w:hint="eastAsia"/>
              <w:b/>
              <w:bCs/>
            </w:rPr>
            <w:fldChar w:fldCharType="end"/>
          </w:r>
          <w:r>
            <w:rPr>
              <w:rFonts w:hint="eastAsia"/>
              <w:b/>
              <w:bCs/>
            </w:rPr>
            <w:fldChar w:fldCharType="end"/>
          </w:r>
        </w:p>
        <w:p>
          <w:pPr>
            <w:pStyle w:val="20"/>
            <w:tabs>
              <w:tab w:val="right" w:leader="dot" w:pos="9060"/>
            </w:tabs>
            <w:ind w:left="686" w:firstLine="526"/>
            <w:rPr>
              <w:rFonts w:hint="eastAsia" w:asciiTheme="minorHAnsi" w:hAnsiTheme="minorHAnsi" w:eastAsiaTheme="minorEastAsia"/>
              <w:b/>
              <w:bCs/>
              <w:sz w:val="22"/>
              <w:szCs w:val="24"/>
            </w:rPr>
          </w:pPr>
          <w:r>
            <w:fldChar w:fldCharType="begin"/>
          </w:r>
          <w:r>
            <w:instrText xml:space="preserve"> HYPERLINK \l "_Toc224309329" </w:instrText>
          </w:r>
          <w:r>
            <w:fldChar w:fldCharType="separate"/>
          </w:r>
          <w:r>
            <w:rPr>
              <w:rStyle w:val="28"/>
              <w:rFonts w:hint="eastAsia"/>
              <w:b/>
              <w:bCs/>
            </w:rPr>
            <w:t>（三）区域主要指标对比分析情况</w:t>
          </w:r>
          <w:r>
            <w:rPr>
              <w:rFonts w:hint="eastAsia"/>
              <w:b/>
              <w:bCs/>
            </w:rPr>
            <w:tab/>
          </w:r>
          <w:r>
            <w:rPr>
              <w:rFonts w:hint="eastAsia"/>
              <w:b/>
              <w:bCs/>
            </w:rPr>
            <w:fldChar w:fldCharType="begin"/>
          </w:r>
          <w:r>
            <w:rPr>
              <w:b/>
              <w:bCs/>
            </w:rPr>
            <w:instrText xml:space="preserve">PAGEREF _Toc224309329 \h</w:instrText>
          </w:r>
          <w:r>
            <w:rPr>
              <w:rFonts w:hint="eastAsia"/>
              <w:b/>
              <w:bCs/>
            </w:rPr>
            <w:fldChar w:fldCharType="separate"/>
          </w:r>
          <w:r>
            <w:rPr>
              <w:b/>
              <w:bCs/>
            </w:rPr>
            <w:t>6</w:t>
          </w:r>
          <w:r>
            <w:rPr>
              <w:rFonts w:hint="eastAsia"/>
              <w:b/>
              <w:bCs/>
            </w:rPr>
            <w:fldChar w:fldCharType="end"/>
          </w:r>
          <w:r>
            <w:rPr>
              <w:rFonts w:hint="eastAsia"/>
              <w:b/>
              <w:bCs/>
            </w:rPr>
            <w:fldChar w:fldCharType="end"/>
          </w:r>
        </w:p>
        <w:p>
          <w:pPr>
            <w:pStyle w:val="20"/>
            <w:tabs>
              <w:tab w:val="right" w:leader="dot" w:pos="9060"/>
            </w:tabs>
            <w:ind w:left="686" w:firstLine="526"/>
            <w:rPr>
              <w:rFonts w:hint="eastAsia" w:asciiTheme="minorHAnsi" w:hAnsiTheme="minorHAnsi" w:eastAsiaTheme="minorEastAsia"/>
              <w:b/>
              <w:bCs/>
              <w:sz w:val="22"/>
              <w:szCs w:val="24"/>
            </w:rPr>
          </w:pPr>
          <w:r>
            <w:fldChar w:fldCharType="begin"/>
          </w:r>
          <w:r>
            <w:instrText xml:space="preserve"> HYPERLINK \l "_Toc224309330" </w:instrText>
          </w:r>
          <w:r>
            <w:fldChar w:fldCharType="separate"/>
          </w:r>
          <w:r>
            <w:rPr>
              <w:rStyle w:val="28"/>
              <w:rFonts w:hint="eastAsia"/>
              <w:b/>
              <w:bCs/>
            </w:rPr>
            <w:t>（四）核心保护要素情况</w:t>
          </w:r>
          <w:r>
            <w:rPr>
              <w:rFonts w:hint="eastAsia"/>
              <w:b/>
              <w:bCs/>
            </w:rPr>
            <w:tab/>
          </w:r>
          <w:r>
            <w:rPr>
              <w:rFonts w:hint="eastAsia"/>
              <w:b/>
              <w:bCs/>
            </w:rPr>
            <w:fldChar w:fldCharType="begin"/>
          </w:r>
          <w:r>
            <w:rPr>
              <w:b/>
              <w:bCs/>
            </w:rPr>
            <w:instrText xml:space="preserve">PAGEREF _Toc224309330 \h</w:instrText>
          </w:r>
          <w:r>
            <w:rPr>
              <w:rFonts w:hint="eastAsia"/>
              <w:b/>
              <w:bCs/>
            </w:rPr>
            <w:fldChar w:fldCharType="separate"/>
          </w:r>
          <w:r>
            <w:rPr>
              <w:b/>
              <w:bCs/>
            </w:rPr>
            <w:t>8</w:t>
          </w:r>
          <w:r>
            <w:rPr>
              <w:rFonts w:hint="eastAsia"/>
              <w:b/>
              <w:bCs/>
            </w:rPr>
            <w:fldChar w:fldCharType="end"/>
          </w:r>
          <w:r>
            <w:rPr>
              <w:rFonts w:hint="eastAsia"/>
              <w:b/>
              <w:bCs/>
            </w:rPr>
            <w:fldChar w:fldCharType="end"/>
          </w:r>
        </w:p>
        <w:p>
          <w:pPr>
            <w:pStyle w:val="18"/>
            <w:tabs>
              <w:tab w:val="right" w:leader="dot" w:pos="9060"/>
            </w:tabs>
            <w:ind w:firstLine="526"/>
            <w:rPr>
              <w:rFonts w:hint="eastAsia" w:asciiTheme="minorHAnsi" w:hAnsiTheme="minorHAnsi" w:eastAsiaTheme="minorEastAsia"/>
              <w:b/>
              <w:bCs/>
              <w:sz w:val="22"/>
              <w:szCs w:val="24"/>
            </w:rPr>
          </w:pPr>
          <w:r>
            <w:fldChar w:fldCharType="begin"/>
          </w:r>
          <w:r>
            <w:instrText xml:space="preserve"> HYPERLINK \l "_Toc224309331" </w:instrText>
          </w:r>
          <w:r>
            <w:fldChar w:fldCharType="separate"/>
          </w:r>
          <w:r>
            <w:rPr>
              <w:rStyle w:val="28"/>
              <w:rFonts w:hint="eastAsia"/>
              <w:b/>
              <w:bCs/>
            </w:rPr>
            <w:t>二、项目资金安排</w:t>
          </w:r>
          <w:r>
            <w:rPr>
              <w:rFonts w:hint="eastAsia"/>
              <w:b/>
              <w:bCs/>
            </w:rPr>
            <w:tab/>
          </w:r>
          <w:r>
            <w:rPr>
              <w:rFonts w:hint="eastAsia"/>
              <w:b/>
              <w:bCs/>
            </w:rPr>
            <w:fldChar w:fldCharType="begin"/>
          </w:r>
          <w:r>
            <w:rPr>
              <w:b/>
              <w:bCs/>
            </w:rPr>
            <w:instrText xml:space="preserve">PAGEREF _Toc224309331 \h</w:instrText>
          </w:r>
          <w:r>
            <w:rPr>
              <w:rFonts w:hint="eastAsia"/>
              <w:b/>
              <w:bCs/>
            </w:rPr>
            <w:fldChar w:fldCharType="separate"/>
          </w:r>
          <w:r>
            <w:rPr>
              <w:b/>
              <w:bCs/>
            </w:rPr>
            <w:t>17</w:t>
          </w:r>
          <w:r>
            <w:rPr>
              <w:rFonts w:hint="eastAsia"/>
              <w:b/>
              <w:bCs/>
            </w:rPr>
            <w:fldChar w:fldCharType="end"/>
          </w:r>
          <w:r>
            <w:rPr>
              <w:rFonts w:hint="eastAsia"/>
              <w:b/>
              <w:bCs/>
            </w:rPr>
            <w:fldChar w:fldCharType="end"/>
          </w:r>
        </w:p>
        <w:p>
          <w:pPr>
            <w:pStyle w:val="18"/>
            <w:tabs>
              <w:tab w:val="right" w:leader="dot" w:pos="9060"/>
            </w:tabs>
            <w:ind w:firstLine="526"/>
            <w:rPr>
              <w:rFonts w:hint="eastAsia" w:asciiTheme="minorHAnsi" w:hAnsiTheme="minorHAnsi" w:eastAsiaTheme="minorEastAsia"/>
              <w:b/>
              <w:bCs/>
              <w:sz w:val="22"/>
              <w:szCs w:val="24"/>
            </w:rPr>
          </w:pPr>
          <w:r>
            <w:fldChar w:fldCharType="begin"/>
          </w:r>
          <w:r>
            <w:instrText xml:space="preserve"> HYPERLINK \l "_Toc224309332" </w:instrText>
          </w:r>
          <w:r>
            <w:fldChar w:fldCharType="separate"/>
          </w:r>
          <w:r>
            <w:rPr>
              <w:rStyle w:val="28"/>
              <w:rFonts w:hint="eastAsia"/>
              <w:b/>
              <w:bCs/>
            </w:rPr>
            <w:t>三、政策支持措施</w:t>
          </w:r>
          <w:r>
            <w:rPr>
              <w:rFonts w:hint="eastAsia"/>
              <w:b/>
              <w:bCs/>
            </w:rPr>
            <w:tab/>
          </w:r>
          <w:r>
            <w:rPr>
              <w:rFonts w:hint="eastAsia"/>
              <w:b/>
              <w:bCs/>
            </w:rPr>
            <w:fldChar w:fldCharType="begin"/>
          </w:r>
          <w:r>
            <w:rPr>
              <w:b/>
              <w:bCs/>
            </w:rPr>
            <w:instrText xml:space="preserve">PAGEREF _Toc224309332 \h</w:instrText>
          </w:r>
          <w:r>
            <w:rPr>
              <w:rFonts w:hint="eastAsia"/>
              <w:b/>
              <w:bCs/>
            </w:rPr>
            <w:fldChar w:fldCharType="separate"/>
          </w:r>
          <w:r>
            <w:rPr>
              <w:b/>
              <w:bCs/>
            </w:rPr>
            <w:t>23</w:t>
          </w:r>
          <w:r>
            <w:rPr>
              <w:rFonts w:hint="eastAsia"/>
              <w:b/>
              <w:bCs/>
            </w:rPr>
            <w:fldChar w:fldCharType="end"/>
          </w:r>
          <w:r>
            <w:rPr>
              <w:rFonts w:hint="eastAsia"/>
              <w:b/>
              <w:bCs/>
            </w:rPr>
            <w:fldChar w:fldCharType="end"/>
          </w:r>
        </w:p>
        <w:p>
          <w:pPr>
            <w:pStyle w:val="18"/>
            <w:tabs>
              <w:tab w:val="right" w:leader="dot" w:pos="9060"/>
            </w:tabs>
            <w:ind w:firstLine="526"/>
            <w:rPr>
              <w:rFonts w:hint="eastAsia" w:asciiTheme="minorHAnsi" w:hAnsiTheme="minorHAnsi" w:eastAsiaTheme="minorEastAsia"/>
              <w:b/>
              <w:bCs/>
              <w:sz w:val="22"/>
              <w:szCs w:val="24"/>
            </w:rPr>
          </w:pPr>
          <w:r>
            <w:fldChar w:fldCharType="begin"/>
          </w:r>
          <w:r>
            <w:instrText xml:space="preserve"> HYPERLINK \l "_Toc224309333" </w:instrText>
          </w:r>
          <w:r>
            <w:fldChar w:fldCharType="separate"/>
          </w:r>
          <w:r>
            <w:rPr>
              <w:rStyle w:val="28"/>
              <w:rFonts w:hint="eastAsia"/>
              <w:b/>
              <w:bCs/>
            </w:rPr>
            <w:t>四、附件</w:t>
          </w:r>
          <w:r>
            <w:rPr>
              <w:rFonts w:hint="eastAsia"/>
              <w:b/>
              <w:bCs/>
            </w:rPr>
            <w:tab/>
          </w:r>
          <w:r>
            <w:rPr>
              <w:rFonts w:hint="eastAsia"/>
              <w:b/>
              <w:bCs/>
            </w:rPr>
            <w:fldChar w:fldCharType="begin"/>
          </w:r>
          <w:r>
            <w:rPr>
              <w:b/>
              <w:bCs/>
            </w:rPr>
            <w:instrText xml:space="preserve">PAGEREF _Toc224309333 \h</w:instrText>
          </w:r>
          <w:r>
            <w:rPr>
              <w:rFonts w:hint="eastAsia"/>
              <w:b/>
              <w:bCs/>
            </w:rPr>
            <w:fldChar w:fldCharType="separate"/>
          </w:r>
          <w:r>
            <w:rPr>
              <w:b/>
              <w:bCs/>
            </w:rPr>
            <w:t>25</w:t>
          </w:r>
          <w:r>
            <w:rPr>
              <w:rFonts w:hint="eastAsia"/>
              <w:b/>
              <w:bCs/>
            </w:rPr>
            <w:fldChar w:fldCharType="end"/>
          </w:r>
          <w:r>
            <w:rPr>
              <w:rFonts w:hint="eastAsia"/>
              <w:b/>
              <w:bCs/>
            </w:rPr>
            <w:fldChar w:fldCharType="end"/>
          </w:r>
        </w:p>
        <w:p>
          <w:pPr>
            <w:pStyle w:val="20"/>
            <w:tabs>
              <w:tab w:val="right" w:leader="dot" w:pos="9060"/>
            </w:tabs>
            <w:ind w:left="686" w:firstLine="526"/>
            <w:rPr>
              <w:rFonts w:hint="eastAsia" w:ascii="宋体" w:hAnsi="宋体"/>
              <w:b/>
              <w:bCs/>
              <w:sz w:val="22"/>
              <w:szCs w:val="24"/>
            </w:rPr>
          </w:pPr>
          <w:r>
            <w:fldChar w:fldCharType="begin"/>
          </w:r>
          <w:r>
            <w:instrText xml:space="preserve"> HYPERLINK \l "_Toc224309334" </w:instrText>
          </w:r>
          <w:r>
            <w:fldChar w:fldCharType="separate"/>
          </w:r>
          <w:r>
            <w:rPr>
              <w:rStyle w:val="28"/>
              <w:rFonts w:hint="eastAsia" w:ascii="宋体" w:hAnsi="宋体" w:cs="Times New Roman"/>
              <w:b/>
              <w:bCs/>
            </w:rPr>
            <w:t>附件1</w:t>
          </w:r>
          <w:r>
            <w:rPr>
              <w:rFonts w:hint="eastAsia" w:ascii="宋体" w:hAnsi="宋体"/>
              <w:b/>
              <w:bCs/>
            </w:rPr>
            <w:tab/>
          </w:r>
          <w:r>
            <w:rPr>
              <w:rFonts w:hint="eastAsia" w:ascii="宋体" w:hAnsi="宋体"/>
              <w:b/>
              <w:bCs/>
            </w:rPr>
            <w:fldChar w:fldCharType="begin"/>
          </w:r>
          <w:r>
            <w:rPr>
              <w:rFonts w:ascii="宋体" w:hAnsi="宋体"/>
              <w:b/>
              <w:bCs/>
            </w:rPr>
            <w:instrText xml:space="preserve">PAGEREF _Toc224309334 \h</w:instrText>
          </w:r>
          <w:r>
            <w:rPr>
              <w:rFonts w:hint="eastAsia" w:ascii="宋体" w:hAnsi="宋体"/>
              <w:b/>
              <w:bCs/>
            </w:rPr>
            <w:fldChar w:fldCharType="separate"/>
          </w:r>
          <w:r>
            <w:rPr>
              <w:rFonts w:ascii="宋体" w:hAnsi="宋体"/>
              <w:b/>
              <w:bCs/>
            </w:rPr>
            <w:t>25</w:t>
          </w:r>
          <w:r>
            <w:rPr>
              <w:rFonts w:hint="eastAsia" w:ascii="宋体" w:hAnsi="宋体"/>
              <w:b/>
              <w:bCs/>
            </w:rPr>
            <w:fldChar w:fldCharType="end"/>
          </w:r>
          <w:r>
            <w:rPr>
              <w:rFonts w:hint="eastAsia" w:ascii="宋体" w:hAnsi="宋体"/>
              <w:b/>
              <w:bCs/>
            </w:rPr>
            <w:fldChar w:fldCharType="end"/>
          </w:r>
        </w:p>
        <w:p>
          <w:pPr>
            <w:pStyle w:val="20"/>
            <w:tabs>
              <w:tab w:val="right" w:leader="dot" w:pos="9060"/>
            </w:tabs>
            <w:ind w:left="686" w:firstLine="526"/>
            <w:rPr>
              <w:rFonts w:hint="eastAsia" w:ascii="宋体" w:hAnsi="宋体"/>
              <w:b/>
              <w:bCs/>
              <w:sz w:val="22"/>
              <w:szCs w:val="24"/>
            </w:rPr>
          </w:pPr>
          <w:r>
            <w:fldChar w:fldCharType="begin"/>
          </w:r>
          <w:r>
            <w:instrText xml:space="preserve"> HYPERLINK \l "_Toc224309335" </w:instrText>
          </w:r>
          <w:r>
            <w:fldChar w:fldCharType="separate"/>
          </w:r>
          <w:r>
            <w:rPr>
              <w:rStyle w:val="28"/>
              <w:rFonts w:hint="eastAsia" w:ascii="宋体" w:hAnsi="宋体" w:cs="Times New Roman"/>
              <w:b/>
              <w:bCs/>
            </w:rPr>
            <w:t>附件2</w:t>
          </w:r>
          <w:r>
            <w:rPr>
              <w:rFonts w:hint="eastAsia" w:ascii="宋体" w:hAnsi="宋体"/>
              <w:b/>
              <w:bCs/>
            </w:rPr>
            <w:tab/>
          </w:r>
          <w:r>
            <w:rPr>
              <w:rFonts w:hint="eastAsia" w:ascii="宋体" w:hAnsi="宋体"/>
              <w:b/>
              <w:bCs/>
            </w:rPr>
            <w:fldChar w:fldCharType="begin"/>
          </w:r>
          <w:r>
            <w:rPr>
              <w:rFonts w:ascii="宋体" w:hAnsi="宋体"/>
              <w:b/>
              <w:bCs/>
            </w:rPr>
            <w:instrText xml:space="preserve">PAGEREF _Toc224309335 \h</w:instrText>
          </w:r>
          <w:r>
            <w:rPr>
              <w:rFonts w:hint="eastAsia" w:ascii="宋体" w:hAnsi="宋体"/>
              <w:b/>
              <w:bCs/>
            </w:rPr>
            <w:fldChar w:fldCharType="separate"/>
          </w:r>
          <w:r>
            <w:rPr>
              <w:rFonts w:ascii="宋体" w:hAnsi="宋体"/>
              <w:b/>
              <w:bCs/>
            </w:rPr>
            <w:t>27</w:t>
          </w:r>
          <w:r>
            <w:rPr>
              <w:rFonts w:hint="eastAsia" w:ascii="宋体" w:hAnsi="宋体"/>
              <w:b/>
              <w:bCs/>
            </w:rPr>
            <w:fldChar w:fldCharType="end"/>
          </w:r>
          <w:r>
            <w:rPr>
              <w:rFonts w:hint="eastAsia" w:ascii="宋体" w:hAnsi="宋体"/>
              <w:b/>
              <w:bCs/>
            </w:rPr>
            <w:fldChar w:fldCharType="end"/>
          </w:r>
        </w:p>
        <w:p>
          <w:pPr>
            <w:pStyle w:val="20"/>
            <w:tabs>
              <w:tab w:val="right" w:leader="dot" w:pos="9060"/>
            </w:tabs>
            <w:ind w:left="686" w:firstLine="526"/>
            <w:rPr>
              <w:rFonts w:hint="eastAsia" w:ascii="宋体" w:hAnsi="宋体"/>
              <w:b/>
              <w:bCs/>
              <w:sz w:val="22"/>
              <w:szCs w:val="24"/>
            </w:rPr>
          </w:pPr>
          <w:r>
            <w:fldChar w:fldCharType="begin"/>
          </w:r>
          <w:r>
            <w:instrText xml:space="preserve"> HYPERLINK \l "_Toc224309336" </w:instrText>
          </w:r>
          <w:r>
            <w:fldChar w:fldCharType="separate"/>
          </w:r>
          <w:r>
            <w:rPr>
              <w:rStyle w:val="28"/>
              <w:rFonts w:hint="eastAsia" w:ascii="宋体" w:hAnsi="宋体" w:cs="Times New Roman"/>
              <w:b/>
              <w:bCs/>
            </w:rPr>
            <w:t>附件3</w:t>
          </w:r>
          <w:r>
            <w:rPr>
              <w:rFonts w:hint="eastAsia" w:ascii="宋体" w:hAnsi="宋体"/>
              <w:b/>
              <w:bCs/>
            </w:rPr>
            <w:tab/>
          </w:r>
          <w:r>
            <w:rPr>
              <w:rFonts w:hint="eastAsia" w:ascii="宋体" w:hAnsi="宋体"/>
              <w:b/>
              <w:bCs/>
            </w:rPr>
            <w:fldChar w:fldCharType="begin"/>
          </w:r>
          <w:r>
            <w:rPr>
              <w:rFonts w:ascii="宋体" w:hAnsi="宋体"/>
              <w:b/>
              <w:bCs/>
            </w:rPr>
            <w:instrText xml:space="preserve">PAGEREF _Toc224309336 \h</w:instrText>
          </w:r>
          <w:r>
            <w:rPr>
              <w:rFonts w:hint="eastAsia" w:ascii="宋体" w:hAnsi="宋体"/>
              <w:b/>
              <w:bCs/>
            </w:rPr>
            <w:fldChar w:fldCharType="separate"/>
          </w:r>
          <w:r>
            <w:rPr>
              <w:rFonts w:ascii="宋体" w:hAnsi="宋体"/>
              <w:b/>
              <w:bCs/>
            </w:rPr>
            <w:t>32</w:t>
          </w:r>
          <w:r>
            <w:rPr>
              <w:rFonts w:hint="eastAsia" w:ascii="宋体" w:hAnsi="宋体"/>
              <w:b/>
              <w:bCs/>
            </w:rPr>
            <w:fldChar w:fldCharType="end"/>
          </w:r>
          <w:r>
            <w:rPr>
              <w:rFonts w:hint="eastAsia" w:ascii="宋体" w:hAnsi="宋体"/>
              <w:b/>
              <w:bCs/>
            </w:rPr>
            <w:fldChar w:fldCharType="end"/>
          </w:r>
        </w:p>
        <w:p>
          <w:pPr>
            <w:pStyle w:val="20"/>
            <w:tabs>
              <w:tab w:val="right" w:leader="dot" w:pos="9060"/>
            </w:tabs>
            <w:ind w:left="686" w:firstLine="526"/>
            <w:rPr>
              <w:rFonts w:hint="eastAsia" w:ascii="宋体" w:hAnsi="宋体"/>
              <w:b/>
              <w:bCs/>
              <w:sz w:val="22"/>
              <w:szCs w:val="24"/>
            </w:rPr>
          </w:pPr>
          <w:r>
            <w:fldChar w:fldCharType="begin"/>
          </w:r>
          <w:r>
            <w:instrText xml:space="preserve"> HYPERLINK \l "_Toc224309337" </w:instrText>
          </w:r>
          <w:r>
            <w:fldChar w:fldCharType="separate"/>
          </w:r>
          <w:r>
            <w:rPr>
              <w:rStyle w:val="28"/>
              <w:rFonts w:hint="eastAsia" w:ascii="宋体" w:hAnsi="宋体" w:cs="Times New Roman"/>
              <w:b/>
              <w:bCs/>
            </w:rPr>
            <w:t>附件4</w:t>
          </w:r>
          <w:r>
            <w:rPr>
              <w:rFonts w:hint="eastAsia" w:ascii="宋体" w:hAnsi="宋体"/>
              <w:b/>
              <w:bCs/>
            </w:rPr>
            <w:tab/>
          </w:r>
          <w:r>
            <w:rPr>
              <w:rFonts w:hint="eastAsia" w:ascii="宋体" w:hAnsi="宋体"/>
              <w:b/>
              <w:bCs/>
            </w:rPr>
            <w:fldChar w:fldCharType="begin"/>
          </w:r>
          <w:r>
            <w:rPr>
              <w:rFonts w:ascii="宋体" w:hAnsi="宋体"/>
              <w:b/>
              <w:bCs/>
            </w:rPr>
            <w:instrText xml:space="preserve">PAGEREF _Toc224309337 \h</w:instrText>
          </w:r>
          <w:r>
            <w:rPr>
              <w:rFonts w:hint="eastAsia" w:ascii="宋体" w:hAnsi="宋体"/>
              <w:b/>
              <w:bCs/>
            </w:rPr>
            <w:fldChar w:fldCharType="separate"/>
          </w:r>
          <w:r>
            <w:rPr>
              <w:rFonts w:ascii="宋体" w:hAnsi="宋体"/>
              <w:b/>
              <w:bCs/>
            </w:rPr>
            <w:t>33</w:t>
          </w:r>
          <w:r>
            <w:rPr>
              <w:rFonts w:hint="eastAsia" w:ascii="宋体" w:hAnsi="宋体"/>
              <w:b/>
              <w:bCs/>
            </w:rPr>
            <w:fldChar w:fldCharType="end"/>
          </w:r>
          <w:r>
            <w:rPr>
              <w:rFonts w:hint="eastAsia" w:ascii="宋体" w:hAnsi="宋体"/>
              <w:b/>
              <w:bCs/>
            </w:rPr>
            <w:fldChar w:fldCharType="end"/>
          </w:r>
        </w:p>
        <w:p>
          <w:pPr>
            <w:pStyle w:val="20"/>
            <w:tabs>
              <w:tab w:val="right" w:leader="dot" w:pos="9060"/>
            </w:tabs>
            <w:ind w:left="686" w:firstLine="526"/>
            <w:rPr>
              <w:rFonts w:hint="eastAsia" w:ascii="宋体" w:hAnsi="宋体"/>
              <w:b/>
              <w:bCs/>
              <w:sz w:val="22"/>
              <w:szCs w:val="24"/>
            </w:rPr>
          </w:pPr>
          <w:r>
            <w:fldChar w:fldCharType="begin"/>
          </w:r>
          <w:r>
            <w:instrText xml:space="preserve"> HYPERLINK \l "_Toc224309338" </w:instrText>
          </w:r>
          <w:r>
            <w:fldChar w:fldCharType="separate"/>
          </w:r>
          <w:r>
            <w:rPr>
              <w:rStyle w:val="28"/>
              <w:rFonts w:hint="eastAsia" w:ascii="宋体" w:hAnsi="宋体" w:cs="Times New Roman"/>
              <w:b/>
              <w:bCs/>
            </w:rPr>
            <w:t>附件5</w:t>
          </w:r>
          <w:r>
            <w:rPr>
              <w:rFonts w:hint="eastAsia" w:ascii="宋体" w:hAnsi="宋体"/>
              <w:b/>
              <w:bCs/>
            </w:rPr>
            <w:tab/>
          </w:r>
          <w:r>
            <w:rPr>
              <w:rFonts w:hint="eastAsia" w:ascii="宋体" w:hAnsi="宋体"/>
              <w:b/>
              <w:bCs/>
            </w:rPr>
            <w:fldChar w:fldCharType="begin"/>
          </w:r>
          <w:r>
            <w:rPr>
              <w:rFonts w:ascii="宋体" w:hAnsi="宋体"/>
              <w:b/>
              <w:bCs/>
            </w:rPr>
            <w:instrText xml:space="preserve">PAGEREF _Toc224309338 \h</w:instrText>
          </w:r>
          <w:r>
            <w:rPr>
              <w:rFonts w:hint="eastAsia" w:ascii="宋体" w:hAnsi="宋体"/>
              <w:b/>
              <w:bCs/>
            </w:rPr>
            <w:fldChar w:fldCharType="separate"/>
          </w:r>
          <w:r>
            <w:rPr>
              <w:rFonts w:ascii="宋体" w:hAnsi="宋体"/>
              <w:b/>
              <w:bCs/>
            </w:rPr>
            <w:t>35</w:t>
          </w:r>
          <w:r>
            <w:rPr>
              <w:rFonts w:hint="eastAsia" w:ascii="宋体" w:hAnsi="宋体"/>
              <w:b/>
              <w:bCs/>
            </w:rPr>
            <w:fldChar w:fldCharType="end"/>
          </w:r>
          <w:r>
            <w:rPr>
              <w:rFonts w:hint="eastAsia" w:ascii="宋体" w:hAnsi="宋体"/>
              <w:b/>
              <w:bCs/>
            </w:rPr>
            <w:fldChar w:fldCharType="end"/>
          </w:r>
        </w:p>
        <w:p>
          <w:pPr>
            <w:pStyle w:val="20"/>
            <w:tabs>
              <w:tab w:val="right" w:leader="dot" w:pos="9060"/>
            </w:tabs>
            <w:ind w:left="686" w:firstLine="526"/>
            <w:rPr>
              <w:rFonts w:hint="eastAsia" w:ascii="宋体" w:hAnsi="宋体"/>
              <w:b/>
              <w:bCs/>
              <w:sz w:val="22"/>
              <w:szCs w:val="24"/>
            </w:rPr>
          </w:pPr>
          <w:r>
            <w:fldChar w:fldCharType="begin"/>
          </w:r>
          <w:r>
            <w:instrText xml:space="preserve"> HYPERLINK \l "_Toc224309339" </w:instrText>
          </w:r>
          <w:r>
            <w:fldChar w:fldCharType="separate"/>
          </w:r>
          <w:r>
            <w:rPr>
              <w:rStyle w:val="28"/>
              <w:rFonts w:hint="eastAsia" w:ascii="宋体" w:hAnsi="宋体" w:cs="Times New Roman"/>
              <w:b/>
              <w:bCs/>
            </w:rPr>
            <w:t>附件6</w:t>
          </w:r>
          <w:r>
            <w:rPr>
              <w:rFonts w:hint="eastAsia" w:ascii="宋体" w:hAnsi="宋体"/>
              <w:b/>
              <w:bCs/>
            </w:rPr>
            <w:tab/>
          </w:r>
          <w:r>
            <w:rPr>
              <w:rFonts w:hint="eastAsia" w:ascii="宋体" w:hAnsi="宋体"/>
              <w:b/>
              <w:bCs/>
            </w:rPr>
            <w:fldChar w:fldCharType="begin"/>
          </w:r>
          <w:r>
            <w:rPr>
              <w:rFonts w:ascii="宋体" w:hAnsi="宋体"/>
              <w:b/>
              <w:bCs/>
            </w:rPr>
            <w:instrText xml:space="preserve">PAGEREF _Toc224309339 \h</w:instrText>
          </w:r>
          <w:r>
            <w:rPr>
              <w:rFonts w:hint="eastAsia" w:ascii="宋体" w:hAnsi="宋体"/>
              <w:b/>
              <w:bCs/>
            </w:rPr>
            <w:fldChar w:fldCharType="separate"/>
          </w:r>
          <w:r>
            <w:rPr>
              <w:rFonts w:ascii="宋体" w:hAnsi="宋体"/>
              <w:b/>
              <w:bCs/>
            </w:rPr>
            <w:t>37</w:t>
          </w:r>
          <w:r>
            <w:rPr>
              <w:rFonts w:hint="eastAsia" w:ascii="宋体" w:hAnsi="宋体"/>
              <w:b/>
              <w:bCs/>
            </w:rPr>
            <w:fldChar w:fldCharType="end"/>
          </w:r>
          <w:r>
            <w:rPr>
              <w:rFonts w:hint="eastAsia" w:ascii="宋体" w:hAnsi="宋体"/>
              <w:b/>
              <w:bCs/>
            </w:rPr>
            <w:fldChar w:fldCharType="end"/>
          </w:r>
        </w:p>
        <w:p>
          <w:pPr>
            <w:pStyle w:val="20"/>
            <w:tabs>
              <w:tab w:val="right" w:leader="dot" w:pos="9060"/>
            </w:tabs>
            <w:ind w:left="686" w:firstLine="526"/>
            <w:rPr>
              <w:rFonts w:hint="eastAsia" w:ascii="宋体" w:hAnsi="宋体"/>
              <w:b/>
              <w:bCs/>
              <w:sz w:val="22"/>
              <w:szCs w:val="24"/>
            </w:rPr>
          </w:pPr>
          <w:r>
            <w:fldChar w:fldCharType="begin"/>
          </w:r>
          <w:r>
            <w:instrText xml:space="preserve"> HYPERLINK \l "_Toc224309340" </w:instrText>
          </w:r>
          <w:r>
            <w:fldChar w:fldCharType="separate"/>
          </w:r>
          <w:r>
            <w:rPr>
              <w:rStyle w:val="28"/>
              <w:rFonts w:hint="eastAsia" w:ascii="宋体" w:hAnsi="宋体" w:cs="Times New Roman"/>
              <w:b/>
              <w:bCs/>
            </w:rPr>
            <w:t>附件7</w:t>
          </w:r>
          <w:r>
            <w:rPr>
              <w:rFonts w:hint="eastAsia" w:ascii="宋体" w:hAnsi="宋体"/>
              <w:b/>
              <w:bCs/>
            </w:rPr>
            <w:tab/>
          </w:r>
          <w:r>
            <w:rPr>
              <w:rFonts w:hint="eastAsia" w:ascii="宋体" w:hAnsi="宋体"/>
              <w:b/>
              <w:bCs/>
            </w:rPr>
            <w:fldChar w:fldCharType="begin"/>
          </w:r>
          <w:r>
            <w:rPr>
              <w:rFonts w:ascii="宋体" w:hAnsi="宋体"/>
              <w:b/>
              <w:bCs/>
            </w:rPr>
            <w:instrText xml:space="preserve">PAGEREF _Toc224309340 \h</w:instrText>
          </w:r>
          <w:r>
            <w:rPr>
              <w:rFonts w:hint="eastAsia" w:ascii="宋体" w:hAnsi="宋体"/>
              <w:b/>
              <w:bCs/>
            </w:rPr>
            <w:fldChar w:fldCharType="separate"/>
          </w:r>
          <w:r>
            <w:rPr>
              <w:rFonts w:ascii="宋体" w:hAnsi="宋体"/>
              <w:b/>
              <w:bCs/>
            </w:rPr>
            <w:t>38</w:t>
          </w:r>
          <w:r>
            <w:rPr>
              <w:rFonts w:hint="eastAsia" w:ascii="宋体" w:hAnsi="宋体"/>
              <w:b/>
              <w:bCs/>
            </w:rPr>
            <w:fldChar w:fldCharType="end"/>
          </w:r>
          <w:r>
            <w:rPr>
              <w:rFonts w:hint="eastAsia" w:ascii="宋体" w:hAnsi="宋体"/>
              <w:b/>
              <w:bCs/>
            </w:rPr>
            <w:fldChar w:fldCharType="end"/>
          </w:r>
        </w:p>
        <w:p>
          <w:pPr>
            <w:pStyle w:val="20"/>
            <w:tabs>
              <w:tab w:val="right" w:leader="dot" w:pos="9060"/>
            </w:tabs>
            <w:ind w:left="686" w:firstLine="526"/>
            <w:rPr>
              <w:rFonts w:hint="eastAsia" w:ascii="宋体" w:hAnsi="宋体"/>
              <w:b/>
              <w:bCs/>
              <w:sz w:val="22"/>
              <w:szCs w:val="24"/>
            </w:rPr>
          </w:pPr>
          <w:r>
            <w:fldChar w:fldCharType="begin"/>
          </w:r>
          <w:r>
            <w:instrText xml:space="preserve"> HYPERLINK \l "_Toc224309341" </w:instrText>
          </w:r>
          <w:r>
            <w:fldChar w:fldCharType="separate"/>
          </w:r>
          <w:r>
            <w:rPr>
              <w:rStyle w:val="28"/>
              <w:rFonts w:hint="eastAsia" w:ascii="宋体" w:hAnsi="宋体" w:cs="Times New Roman"/>
              <w:b/>
              <w:bCs/>
            </w:rPr>
            <w:t>附件8</w:t>
          </w:r>
          <w:r>
            <w:rPr>
              <w:rFonts w:hint="eastAsia" w:ascii="宋体" w:hAnsi="宋体"/>
              <w:b/>
              <w:bCs/>
            </w:rPr>
            <w:tab/>
          </w:r>
          <w:r>
            <w:rPr>
              <w:rFonts w:hint="eastAsia" w:ascii="宋体" w:hAnsi="宋体"/>
              <w:b/>
              <w:bCs/>
            </w:rPr>
            <w:fldChar w:fldCharType="begin"/>
          </w:r>
          <w:r>
            <w:rPr>
              <w:rFonts w:ascii="宋体" w:hAnsi="宋体"/>
              <w:b/>
              <w:bCs/>
            </w:rPr>
            <w:instrText xml:space="preserve">PAGEREF _Toc224309341 \h</w:instrText>
          </w:r>
          <w:r>
            <w:rPr>
              <w:rFonts w:hint="eastAsia" w:ascii="宋体" w:hAnsi="宋体"/>
              <w:b/>
              <w:bCs/>
            </w:rPr>
            <w:fldChar w:fldCharType="separate"/>
          </w:r>
          <w:r>
            <w:rPr>
              <w:rFonts w:ascii="宋体" w:hAnsi="宋体"/>
              <w:b/>
              <w:bCs/>
            </w:rPr>
            <w:t>40</w:t>
          </w:r>
          <w:r>
            <w:rPr>
              <w:rFonts w:hint="eastAsia" w:ascii="宋体" w:hAnsi="宋体"/>
              <w:b/>
              <w:bCs/>
            </w:rPr>
            <w:fldChar w:fldCharType="end"/>
          </w:r>
          <w:r>
            <w:rPr>
              <w:rFonts w:hint="eastAsia" w:ascii="宋体" w:hAnsi="宋体"/>
              <w:b/>
              <w:bCs/>
            </w:rPr>
            <w:fldChar w:fldCharType="end"/>
          </w:r>
        </w:p>
        <w:p>
          <w:pPr>
            <w:ind w:firstLine="688"/>
            <w:jc w:val="center"/>
            <w:rPr>
              <w:rFonts w:hint="eastAsia" w:ascii="宋体" w:hAnsi="宋体" w:eastAsia="宋体"/>
              <w:b/>
              <w:sz w:val="36"/>
              <w:szCs w:val="36"/>
            </w:rPr>
          </w:pPr>
          <w:r>
            <w:rPr>
              <w:rFonts w:hint="eastAsia" w:ascii="宋体" w:hAnsi="宋体" w:eastAsia="宋体"/>
              <w:b/>
              <w:szCs w:val="36"/>
            </w:rPr>
            <w:fldChar w:fldCharType="end"/>
          </w:r>
        </w:p>
      </w:sdtContent>
    </w:sdt>
    <w:p>
      <w:pPr>
        <w:ind w:firstLine="767"/>
        <w:jc w:val="center"/>
        <w:rPr>
          <w:rFonts w:hint="eastAsia" w:ascii="华文中宋" w:hAnsi="华文中宋" w:eastAsia="华文中宋"/>
          <w:b/>
          <w:bCs/>
          <w:sz w:val="36"/>
          <w:szCs w:val="36"/>
        </w:rPr>
      </w:pPr>
    </w:p>
    <w:p>
      <w:pPr>
        <w:ind w:firstLine="767"/>
        <w:jc w:val="center"/>
        <w:rPr>
          <w:rFonts w:hint="eastAsia" w:ascii="华文中宋" w:hAnsi="华文中宋" w:eastAsia="华文中宋"/>
          <w:b/>
          <w:bCs/>
          <w:sz w:val="36"/>
          <w:szCs w:val="36"/>
        </w:rPr>
      </w:pPr>
    </w:p>
    <w:p>
      <w:pPr>
        <w:ind w:firstLine="0" w:firstLineChars="0"/>
        <w:rPr>
          <w:rFonts w:hint="eastAsia" w:ascii="华文中宋" w:hAnsi="华文中宋" w:eastAsia="华文中宋"/>
          <w:b/>
          <w:bCs/>
          <w:sz w:val="36"/>
          <w:szCs w:val="36"/>
        </w:rPr>
        <w:sectPr>
          <w:headerReference r:id="rId5" w:type="default"/>
          <w:footerReference r:id="rId7" w:type="default"/>
          <w:headerReference r:id="rId6" w:type="even"/>
          <w:footerReference r:id="rId8" w:type="even"/>
          <w:pgSz w:w="11906" w:h="16838"/>
          <w:pgMar w:top="1985" w:right="1418" w:bottom="1701" w:left="1418" w:header="851" w:footer="992" w:gutter="0"/>
          <w:cols w:space="425" w:num="1"/>
          <w:docGrid w:type="linesAndChars" w:linePitch="386" w:charSpace="4710"/>
        </w:sectPr>
      </w:pPr>
    </w:p>
    <w:p>
      <w:pPr>
        <w:pStyle w:val="2"/>
        <w:rPr>
          <w:color w:val="auto"/>
        </w:rPr>
      </w:pPr>
      <w:bookmarkStart w:id="0" w:name="_Toc224309326"/>
      <w:bookmarkStart w:id="1" w:name="_Hlk222387190"/>
      <w:r>
        <w:rPr>
          <w:rFonts w:hint="eastAsia"/>
          <w:color w:val="auto"/>
        </w:rPr>
        <w:t>一、项目本体情况</w:t>
      </w:r>
      <w:bookmarkEnd w:id="0"/>
    </w:p>
    <w:p>
      <w:pPr>
        <w:pStyle w:val="3"/>
        <w:rPr>
          <w:color w:val="auto"/>
        </w:rPr>
      </w:pPr>
      <w:bookmarkStart w:id="2" w:name="_Toc224309327"/>
      <w:r>
        <w:rPr>
          <w:rFonts w:hint="eastAsia"/>
          <w:color w:val="auto"/>
        </w:rPr>
        <w:t>（一）主要分布区域情况</w:t>
      </w:r>
      <w:bookmarkEnd w:id="2"/>
    </w:p>
    <w:p>
      <w:pPr>
        <w:ind w:firstLine="686"/>
        <w:rPr>
          <w:rFonts w:eastAsia="仿宋" w:cs="Times New Roman"/>
          <w:color w:val="000000"/>
          <w:szCs w:val="32"/>
        </w:rPr>
      </w:pPr>
      <w:r>
        <w:rPr>
          <w:rFonts w:hint="eastAsia" w:eastAsia="仿宋" w:cs="Times New Roman"/>
          <w:color w:val="000000"/>
          <w:szCs w:val="32"/>
        </w:rPr>
        <w:t>新疆莎车巴旦</w:t>
      </w:r>
      <w:r>
        <w:rPr>
          <w:rFonts w:hint="eastAsia" w:eastAsia="仿宋" w:cs="Times New Roman"/>
          <w:color w:val="000000"/>
          <w:szCs w:val="32"/>
          <w:lang w:eastAsia="zh-CN"/>
        </w:rPr>
        <w:t>姆</w:t>
      </w:r>
      <w:r>
        <w:rPr>
          <w:rFonts w:hint="eastAsia" w:eastAsia="仿宋" w:cs="Times New Roman"/>
          <w:color w:val="000000"/>
          <w:szCs w:val="32"/>
        </w:rPr>
        <w:t>栽培系统主要分布区域位于新疆维吾尔自治区喀什地区莎车县境内（图1-1）</w:t>
      </w:r>
      <w:r>
        <w:rPr>
          <w:rFonts w:eastAsia="仿宋" w:cs="Times New Roman"/>
          <w:color w:val="000000"/>
          <w:szCs w:val="32"/>
        </w:rPr>
        <w:t>，</w:t>
      </w:r>
      <w:r>
        <w:rPr>
          <w:rFonts w:hint="eastAsia" w:eastAsia="仿宋" w:cs="Times New Roman"/>
          <w:color w:val="000000"/>
          <w:szCs w:val="32"/>
        </w:rPr>
        <w:t>处于昆仑山北麓，帕米尔高原南面，塔克拉玛干沙漠和布古里沙漠之间的叶尔羌河冲积扇平原中上游。莎车县行政区域面积8957平方千米，下辖5个街道、1</w:t>
      </w:r>
      <w:r>
        <w:rPr>
          <w:rFonts w:hint="eastAsia" w:eastAsia="仿宋" w:cs="Times New Roman"/>
          <w:color w:val="000000"/>
          <w:szCs w:val="32"/>
          <w:lang w:val="en-US" w:eastAsia="zh-CN"/>
        </w:rPr>
        <w:t>5</w:t>
      </w:r>
      <w:r>
        <w:rPr>
          <w:rFonts w:hint="eastAsia" w:eastAsia="仿宋" w:cs="Times New Roman"/>
          <w:color w:val="000000"/>
          <w:szCs w:val="32"/>
        </w:rPr>
        <w:t>个镇、14个乡、1个民族乡，</w:t>
      </w:r>
      <w:r>
        <w:rPr>
          <w:rFonts w:hint="eastAsia" w:eastAsia="仿宋" w:cs="Times New Roman"/>
          <w:color w:val="000000"/>
          <w:szCs w:val="32"/>
          <w:lang w:val="en-US" w:eastAsia="zh-CN"/>
        </w:rPr>
        <w:t>1</w:t>
      </w:r>
      <w:r>
        <w:rPr>
          <w:rFonts w:hint="eastAsia" w:eastAsia="仿宋" w:cs="Times New Roman"/>
          <w:color w:val="000000"/>
          <w:szCs w:val="32"/>
        </w:rPr>
        <w:t>个管委会。共有480个行政村、76个社区。</w:t>
      </w:r>
    </w:p>
    <w:p>
      <w:pPr>
        <w:ind w:firstLine="686"/>
        <w:rPr>
          <w:rFonts w:eastAsia="仿宋" w:cs="Times New Roman"/>
          <w:color w:val="000000"/>
          <w:szCs w:val="32"/>
        </w:rPr>
      </w:pPr>
    </w:p>
    <w:p>
      <w:pPr>
        <w:spacing w:line="240" w:lineRule="auto"/>
        <w:ind w:firstLine="0" w:firstLineChars="0"/>
        <w:jc w:val="center"/>
      </w:pPr>
      <w:r>
        <w:drawing>
          <wp:inline distT="0" distB="0" distL="0" distR="0">
            <wp:extent cx="5538470" cy="2065655"/>
            <wp:effectExtent l="0" t="0" r="5080" b="0"/>
            <wp:docPr id="1111058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5836"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82929" cy="2082365"/>
                    </a:xfrm>
                    <a:prstGeom prst="rect">
                      <a:avLst/>
                    </a:prstGeom>
                    <a:noFill/>
                    <a:ln>
                      <a:noFill/>
                    </a:ln>
                  </pic:spPr>
                </pic:pic>
              </a:graphicData>
            </a:graphic>
          </wp:inline>
        </w:drawing>
      </w:r>
    </w:p>
    <w:p>
      <w:pPr>
        <w:ind w:firstLine="648"/>
        <w:jc w:val="center"/>
        <w:rPr>
          <w:rFonts w:hint="eastAsia" w:ascii="仿宋" w:hAnsi="仿宋" w:eastAsia="仿宋"/>
          <w:b/>
          <w:bCs/>
          <w:sz w:val="30"/>
          <w:szCs w:val="30"/>
        </w:rPr>
      </w:pPr>
      <w:r>
        <w:rPr>
          <w:rFonts w:hint="eastAsia" w:ascii="仿宋" w:hAnsi="仿宋" w:eastAsia="仿宋"/>
          <w:b/>
          <w:bCs/>
          <w:sz w:val="30"/>
          <w:szCs w:val="30"/>
        </w:rPr>
        <w:t>图1-1 新疆莎车巴旦</w:t>
      </w:r>
      <w:r>
        <w:rPr>
          <w:rFonts w:hint="eastAsia" w:ascii="仿宋" w:hAnsi="仿宋" w:eastAsia="仿宋"/>
          <w:b/>
          <w:bCs/>
          <w:sz w:val="30"/>
          <w:szCs w:val="30"/>
          <w:lang w:eastAsia="zh-CN"/>
        </w:rPr>
        <w:t>姆</w:t>
      </w:r>
      <w:r>
        <w:rPr>
          <w:rFonts w:hint="eastAsia" w:ascii="仿宋" w:hAnsi="仿宋" w:eastAsia="仿宋"/>
          <w:b/>
          <w:bCs/>
          <w:sz w:val="30"/>
          <w:szCs w:val="30"/>
        </w:rPr>
        <w:t>栽培系统地理位置</w:t>
      </w:r>
    </w:p>
    <w:p>
      <w:pPr>
        <w:ind w:firstLine="648"/>
        <w:jc w:val="center"/>
        <w:rPr>
          <w:rFonts w:hint="eastAsia" w:ascii="仿宋" w:hAnsi="仿宋" w:eastAsia="仿宋"/>
          <w:b/>
          <w:bCs/>
          <w:sz w:val="30"/>
          <w:szCs w:val="30"/>
        </w:rPr>
      </w:pPr>
    </w:p>
    <w:p>
      <w:pPr>
        <w:ind w:firstLine="686"/>
        <w:rPr>
          <w:rFonts w:eastAsia="仿宋" w:cs="Times New Roman"/>
          <w:color w:val="000000"/>
          <w:szCs w:val="32"/>
        </w:rPr>
      </w:pPr>
      <w:r>
        <w:rPr>
          <w:rFonts w:hint="eastAsia" w:eastAsia="仿宋" w:cs="Times New Roman"/>
          <w:color w:val="000000"/>
          <w:szCs w:val="32"/>
        </w:rPr>
        <w:t>莎车巴旦</w:t>
      </w:r>
      <w:r>
        <w:rPr>
          <w:rFonts w:hint="eastAsia" w:eastAsia="仿宋" w:cs="Times New Roman"/>
          <w:color w:val="000000"/>
          <w:szCs w:val="32"/>
          <w:lang w:eastAsia="zh-CN"/>
        </w:rPr>
        <w:t>姆</w:t>
      </w:r>
      <w:r>
        <w:rPr>
          <w:rFonts w:hint="eastAsia" w:eastAsia="仿宋" w:cs="Times New Roman"/>
          <w:color w:val="000000"/>
          <w:szCs w:val="32"/>
        </w:rPr>
        <w:t>栽培系统主要分布区位于莎车县城周边及北部地区，涉及阿热勒乡、阿瓦提镇、塔尕尔其镇和国有二林</w:t>
      </w:r>
      <w:r>
        <w:rPr>
          <w:rFonts w:hint="eastAsia" w:eastAsia="仿宋" w:cs="Times New Roman"/>
          <w:color w:val="000000"/>
          <w:szCs w:val="32"/>
          <w:lang w:val="en-US" w:eastAsia="zh-CN"/>
        </w:rPr>
        <w:t>场</w:t>
      </w:r>
      <w:r>
        <w:rPr>
          <w:rFonts w:hint="eastAsia" w:eastAsia="仿宋" w:cs="Times New Roman"/>
          <w:color w:val="000000"/>
          <w:szCs w:val="32"/>
        </w:rPr>
        <w:t>四个乡镇级行政单位，总面积34</w:t>
      </w:r>
      <w:r>
        <w:rPr>
          <w:rFonts w:hint="eastAsia" w:eastAsia="仿宋" w:cs="Times New Roman"/>
          <w:color w:val="000000"/>
          <w:szCs w:val="32"/>
          <w:lang w:val="en-US" w:eastAsia="zh-CN"/>
        </w:rPr>
        <w:t>2</w:t>
      </w:r>
      <w:r>
        <w:rPr>
          <w:rFonts w:hint="eastAsia" w:eastAsia="仿宋" w:cs="Times New Roman"/>
          <w:color w:val="000000"/>
          <w:szCs w:val="32"/>
        </w:rPr>
        <w:t>.</w:t>
      </w:r>
      <w:r>
        <w:rPr>
          <w:rFonts w:hint="eastAsia" w:eastAsia="仿宋" w:cs="Times New Roman"/>
          <w:color w:val="000000"/>
          <w:szCs w:val="32"/>
          <w:lang w:val="en-US" w:eastAsia="zh-CN"/>
        </w:rPr>
        <w:t>55</w:t>
      </w:r>
      <w:r>
        <w:rPr>
          <w:rFonts w:hint="eastAsia" w:eastAsia="仿宋" w:cs="Times New Roman"/>
          <w:color w:val="000000"/>
          <w:szCs w:val="32"/>
        </w:rPr>
        <w:t>平方公里。</w:t>
      </w:r>
    </w:p>
    <w:p>
      <w:pPr>
        <w:ind w:firstLine="686"/>
        <w:rPr>
          <w:rFonts w:eastAsia="仿宋" w:cs="Times New Roman"/>
          <w:color w:val="000000"/>
          <w:szCs w:val="32"/>
        </w:rPr>
      </w:pPr>
      <w:r>
        <w:rPr>
          <w:rFonts w:hint="eastAsia" w:eastAsia="仿宋" w:cs="Times New Roman"/>
          <w:color w:val="000000"/>
          <w:szCs w:val="32"/>
        </w:rPr>
        <w:t>该系统主要分布区域由“三片区一林场”组成（图1-2），总面积63.0平方公里。</w:t>
      </w:r>
    </w:p>
    <w:p>
      <w:pPr>
        <w:ind w:firstLine="686"/>
        <w:rPr>
          <w:rFonts w:eastAsia="仿宋" w:cs="Times New Roman"/>
          <w:color w:val="000000"/>
          <w:szCs w:val="32"/>
        </w:rPr>
      </w:pPr>
      <w:r>
        <w:rPr>
          <w:rFonts w:hint="eastAsia" w:eastAsia="仿宋" w:cs="Times New Roman"/>
          <w:color w:val="000000"/>
          <w:szCs w:val="32"/>
        </w:rPr>
        <w:t>北部片区由阿瓦提镇的六个行政村组成，包括阔纳阿日希村（8村）、提干库</w:t>
      </w:r>
      <w:r>
        <w:rPr>
          <w:rFonts w:hint="eastAsia" w:eastAsia="仿宋" w:cs="Times New Roman"/>
          <w:color w:val="000000"/>
          <w:szCs w:val="32"/>
          <w:lang w:val="en-US" w:eastAsia="zh-CN"/>
        </w:rPr>
        <w:t>木</w:t>
      </w:r>
      <w:r>
        <w:rPr>
          <w:rFonts w:hint="eastAsia" w:eastAsia="仿宋" w:cs="Times New Roman"/>
          <w:color w:val="000000"/>
          <w:szCs w:val="32"/>
        </w:rPr>
        <w:t>村（10村）、喀勒塔吾斯塘村（11村）、阿瓦提巴扎村（12村）、库</w:t>
      </w:r>
      <w:r>
        <w:rPr>
          <w:rFonts w:hint="eastAsia" w:eastAsia="仿宋" w:cs="Times New Roman"/>
          <w:color w:val="000000"/>
          <w:szCs w:val="32"/>
          <w:lang w:val="en-US" w:eastAsia="zh-CN"/>
        </w:rPr>
        <w:t>木</w:t>
      </w:r>
      <w:r>
        <w:rPr>
          <w:rFonts w:hint="eastAsia" w:eastAsia="仿宋" w:cs="Times New Roman"/>
          <w:color w:val="000000"/>
          <w:szCs w:val="32"/>
        </w:rPr>
        <w:t>库勒村（13村）、提铁尔库勒村（14村）。</w:t>
      </w:r>
    </w:p>
    <w:p>
      <w:pPr>
        <w:ind w:firstLine="686"/>
        <w:rPr>
          <w:rFonts w:eastAsia="仿宋" w:cs="Times New Roman"/>
          <w:color w:val="000000"/>
          <w:szCs w:val="32"/>
        </w:rPr>
      </w:pPr>
      <w:r>
        <w:rPr>
          <w:rFonts w:hint="eastAsia" w:eastAsia="仿宋" w:cs="Times New Roman"/>
          <w:color w:val="000000"/>
          <w:szCs w:val="32"/>
        </w:rPr>
        <w:t>中部片区由阿热勒乡六个行政村组成，包括布力买村（1村）、苏盖提力克村（3村）、托盖塔塔尔村（4村）、吐格曼贝希村（6村）、巴依都维村（12村）、阿孜干巴格村（14村）。</w:t>
      </w:r>
    </w:p>
    <w:p>
      <w:pPr>
        <w:ind w:firstLine="686"/>
        <w:rPr>
          <w:rFonts w:eastAsia="仿宋" w:cs="Times New Roman"/>
          <w:color w:val="000000"/>
          <w:szCs w:val="32"/>
        </w:rPr>
      </w:pPr>
      <w:r>
        <w:rPr>
          <w:rFonts w:hint="eastAsia" w:eastAsia="仿宋" w:cs="Times New Roman"/>
          <w:color w:val="000000"/>
          <w:szCs w:val="32"/>
        </w:rPr>
        <w:t>西部片区由塔尕尔其镇三个行政村组成，包括塔合塔科瑞克村（15村）、库</w:t>
      </w:r>
      <w:r>
        <w:rPr>
          <w:rFonts w:hint="eastAsia" w:eastAsia="仿宋" w:cs="Times New Roman"/>
          <w:color w:val="000000"/>
          <w:szCs w:val="32"/>
          <w:lang w:val="en-US" w:eastAsia="zh-CN"/>
        </w:rPr>
        <w:t>木其</w:t>
      </w:r>
      <w:r>
        <w:rPr>
          <w:rFonts w:hint="eastAsia" w:eastAsia="仿宋" w:cs="Times New Roman"/>
          <w:color w:val="000000"/>
          <w:szCs w:val="32"/>
        </w:rPr>
        <w:t>巴格村（16村）、库吾其村（21村）。</w:t>
      </w:r>
    </w:p>
    <w:p>
      <w:pPr>
        <w:ind w:firstLine="686"/>
        <w:rPr>
          <w:rFonts w:eastAsia="仿宋" w:cs="Times New Roman"/>
          <w:color w:val="000000"/>
          <w:szCs w:val="32"/>
        </w:rPr>
      </w:pPr>
      <w:r>
        <w:rPr>
          <w:rFonts w:hint="eastAsia" w:eastAsia="仿宋" w:cs="Times New Roman"/>
          <w:color w:val="000000"/>
          <w:szCs w:val="32"/>
        </w:rPr>
        <w:t>南部片区为国</w:t>
      </w:r>
      <w:r>
        <w:rPr>
          <w:rFonts w:hint="eastAsia" w:eastAsia="仿宋" w:cs="Times New Roman"/>
          <w:color w:val="000000"/>
          <w:szCs w:val="32"/>
          <w:lang w:val="en-US" w:eastAsia="zh-CN"/>
        </w:rPr>
        <w:t>有</w:t>
      </w:r>
      <w:r>
        <w:rPr>
          <w:rFonts w:hint="eastAsia" w:eastAsia="仿宋" w:cs="Times New Roman"/>
          <w:color w:val="000000"/>
          <w:szCs w:val="32"/>
        </w:rPr>
        <w:t>二林场。</w:t>
      </w:r>
    </w:p>
    <w:p>
      <w:pPr>
        <w:pStyle w:val="3"/>
        <w:rPr>
          <w:color w:val="auto"/>
        </w:rPr>
      </w:pPr>
      <w:bookmarkStart w:id="3" w:name="_Toc224309328"/>
      <w:r>
        <w:rPr>
          <w:rFonts w:hint="eastAsia"/>
          <w:color w:val="auto"/>
        </w:rPr>
        <w:t>（二）核心保护区域分布情况</w:t>
      </w:r>
      <w:bookmarkEnd w:id="3"/>
    </w:p>
    <w:p>
      <w:pPr>
        <w:ind w:firstLine="686"/>
        <w:rPr>
          <w:rFonts w:eastAsia="仿宋" w:cs="Times New Roman"/>
          <w:color w:val="000000"/>
          <w:szCs w:val="32"/>
        </w:rPr>
      </w:pPr>
      <w:r>
        <w:rPr>
          <w:rFonts w:eastAsia="仿宋" w:cs="Times New Roman"/>
          <w:color w:val="000000"/>
          <w:szCs w:val="32"/>
        </w:rPr>
        <w:t>遗产</w:t>
      </w:r>
      <w:r>
        <w:rPr>
          <w:rFonts w:hint="eastAsia" w:eastAsia="仿宋" w:cs="Times New Roman"/>
          <w:color w:val="000000"/>
          <w:szCs w:val="32"/>
        </w:rPr>
        <w:t>核心保护区域包括阿热勒乡巴依都维村（77.289 E, 38.392 N）和阿孜干巴格村，阿瓦提镇阔纳阿日希村（77.386 E, 38.571 N）和库</w:t>
      </w:r>
      <w:r>
        <w:rPr>
          <w:rFonts w:hint="eastAsia" w:eastAsia="仿宋" w:cs="Times New Roman"/>
          <w:color w:val="000000"/>
          <w:szCs w:val="32"/>
          <w:lang w:val="en-US" w:eastAsia="zh-CN"/>
        </w:rPr>
        <w:t>木</w:t>
      </w:r>
      <w:r>
        <w:rPr>
          <w:rFonts w:hint="eastAsia" w:eastAsia="仿宋" w:cs="Times New Roman"/>
          <w:color w:val="000000"/>
          <w:szCs w:val="32"/>
        </w:rPr>
        <w:t>库勒村（77.396 E, 38.629 N），塔尕尔其镇库吾其村（77.266 E, 38.557 N）、二林场（76.137 E, 38.199 N），共5个行政村和1个国有林场</w:t>
      </w:r>
      <w:r>
        <w:rPr>
          <w:rFonts w:eastAsia="仿宋" w:cs="Times New Roman"/>
          <w:color w:val="000000"/>
          <w:szCs w:val="32"/>
        </w:rPr>
        <w:t>（图</w:t>
      </w:r>
      <w:r>
        <w:rPr>
          <w:rFonts w:hint="eastAsia" w:eastAsia="仿宋" w:cs="Times New Roman"/>
          <w:color w:val="000000"/>
          <w:szCs w:val="32"/>
        </w:rPr>
        <w:t>1</w:t>
      </w:r>
      <w:r>
        <w:rPr>
          <w:rFonts w:eastAsia="仿宋" w:cs="Times New Roman"/>
          <w:color w:val="000000"/>
          <w:szCs w:val="32"/>
        </w:rPr>
        <w:t>-</w:t>
      </w:r>
      <w:r>
        <w:rPr>
          <w:rFonts w:hint="eastAsia" w:eastAsia="仿宋" w:cs="Times New Roman"/>
          <w:color w:val="000000"/>
          <w:szCs w:val="32"/>
        </w:rPr>
        <w:t>2</w:t>
      </w:r>
      <w:r>
        <w:rPr>
          <w:rFonts w:eastAsia="仿宋" w:cs="Times New Roman"/>
          <w:color w:val="000000"/>
          <w:szCs w:val="32"/>
        </w:rPr>
        <w:t>），</w:t>
      </w:r>
      <w:r>
        <w:rPr>
          <w:rFonts w:hAnsi="仿宋" w:eastAsia="仿宋" w:cs="Times New Roman"/>
          <w:bCs/>
          <w:color w:val="000000"/>
          <w:szCs w:val="32"/>
        </w:rPr>
        <w:t>总面积</w:t>
      </w:r>
      <w:r>
        <w:rPr>
          <w:rFonts w:hint="eastAsia" w:eastAsia="仿宋" w:cs="Times New Roman"/>
          <w:color w:val="000000"/>
          <w:szCs w:val="32"/>
        </w:rPr>
        <w:t>27.66平方公里。</w:t>
      </w:r>
    </w:p>
    <w:p>
      <w:pPr>
        <w:spacing w:line="240" w:lineRule="auto"/>
        <w:ind w:firstLine="0" w:firstLineChars="0"/>
        <w:jc w:val="center"/>
      </w:pPr>
      <w:r>
        <w:drawing>
          <wp:inline distT="0" distB="0" distL="0" distR="0">
            <wp:extent cx="5759450" cy="8149590"/>
            <wp:effectExtent l="0" t="0" r="0" b="0"/>
            <wp:docPr id="8626428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2809"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59450" cy="8149590"/>
                    </a:xfrm>
                    <a:prstGeom prst="rect">
                      <a:avLst/>
                    </a:prstGeom>
                    <a:noFill/>
                    <a:ln>
                      <a:noFill/>
                    </a:ln>
                  </pic:spPr>
                </pic:pic>
              </a:graphicData>
            </a:graphic>
          </wp:inline>
        </w:drawing>
      </w:r>
    </w:p>
    <w:p>
      <w:pPr>
        <w:ind w:firstLine="263" w:firstLineChars="82"/>
        <w:jc w:val="center"/>
        <w:rPr>
          <w:rFonts w:hint="eastAsia" w:ascii="仿宋" w:hAnsi="仿宋" w:eastAsia="仿宋"/>
          <w:b/>
          <w:bCs/>
          <w:sz w:val="30"/>
          <w:szCs w:val="30"/>
        </w:rPr>
      </w:pPr>
      <w:r>
        <w:rPr>
          <w:rFonts w:ascii="仿宋" w:hAnsi="仿宋" w:eastAsia="仿宋"/>
          <w:b/>
          <w:bCs/>
          <w:sz w:val="30"/>
          <w:szCs w:val="30"/>
        </w:rPr>
        <w:t>图</w:t>
      </w:r>
      <w:r>
        <w:rPr>
          <w:rFonts w:hint="eastAsia" w:ascii="仿宋" w:hAnsi="仿宋" w:eastAsia="仿宋"/>
          <w:b/>
          <w:bCs/>
          <w:sz w:val="30"/>
          <w:szCs w:val="30"/>
        </w:rPr>
        <w:t>1-2</w:t>
      </w:r>
      <w:r>
        <w:rPr>
          <w:rFonts w:ascii="仿宋" w:hAnsi="仿宋" w:eastAsia="仿宋"/>
          <w:b/>
          <w:bCs/>
          <w:sz w:val="30"/>
          <w:szCs w:val="30"/>
        </w:rPr>
        <w:t xml:space="preserve"> 遗产</w:t>
      </w:r>
      <w:r>
        <w:rPr>
          <w:rFonts w:hint="eastAsia" w:ascii="仿宋" w:hAnsi="仿宋" w:eastAsia="仿宋"/>
          <w:b/>
          <w:bCs/>
          <w:sz w:val="30"/>
          <w:szCs w:val="30"/>
        </w:rPr>
        <w:t>地分布区及</w:t>
      </w:r>
      <w:r>
        <w:rPr>
          <w:rFonts w:ascii="仿宋" w:hAnsi="仿宋" w:eastAsia="仿宋"/>
          <w:b/>
          <w:bCs/>
          <w:sz w:val="30"/>
          <w:szCs w:val="30"/>
        </w:rPr>
        <w:t>核心保护区</w:t>
      </w:r>
    </w:p>
    <w:p>
      <w:pPr>
        <w:pStyle w:val="3"/>
        <w:rPr>
          <w:color w:val="auto"/>
        </w:rPr>
      </w:pPr>
      <w:bookmarkStart w:id="4" w:name="_Toc224309329"/>
      <w:r>
        <w:rPr>
          <w:rFonts w:hint="eastAsia"/>
          <w:color w:val="auto"/>
        </w:rPr>
        <w:t>（三）区域主要指标对比分析情况</w:t>
      </w:r>
      <w:bookmarkEnd w:id="4"/>
    </w:p>
    <w:p>
      <w:pPr>
        <w:pStyle w:val="21"/>
        <w:spacing w:after="0"/>
        <w:ind w:firstLine="644" w:firstLineChars="200"/>
        <w:rPr>
          <w:rFonts w:hint="eastAsia" w:ascii="仿宋" w:hAnsi="仿宋" w:eastAsia="仿宋"/>
          <w:color w:val="auto"/>
        </w:rPr>
      </w:pPr>
      <w:r>
        <w:rPr>
          <w:rFonts w:hint="eastAsia" w:ascii="仿宋" w:hAnsi="仿宋" w:eastAsia="仿宋"/>
          <w:color w:val="auto"/>
        </w:rPr>
        <w:t>1.核心保护区</w:t>
      </w:r>
    </w:p>
    <w:p>
      <w:pPr>
        <w:ind w:firstLine="686"/>
        <w:rPr>
          <w:rFonts w:eastAsia="仿宋" w:cs="Times New Roman"/>
          <w:color w:val="000000"/>
          <w:szCs w:val="32"/>
        </w:rPr>
      </w:pPr>
      <w:r>
        <w:rPr>
          <w:rFonts w:hint="eastAsia" w:eastAsia="仿宋" w:cs="Times New Roman"/>
          <w:color w:val="000000"/>
          <w:szCs w:val="32"/>
        </w:rPr>
        <w:t>巴依都维村等5个行政村和一个国有林场（表1-1），均地处</w:t>
      </w:r>
      <w:r>
        <w:rPr>
          <w:rFonts w:eastAsia="仿宋" w:cs="Times New Roman"/>
          <w:color w:val="000000"/>
          <w:szCs w:val="32"/>
        </w:rPr>
        <w:t>叶尔羌河</w:t>
      </w:r>
      <w:r>
        <w:rPr>
          <w:rFonts w:hint="eastAsia" w:eastAsia="仿宋" w:cs="Times New Roman"/>
          <w:color w:val="000000"/>
          <w:szCs w:val="32"/>
        </w:rPr>
        <w:t>沿岸</w:t>
      </w:r>
      <w:r>
        <w:rPr>
          <w:rFonts w:eastAsia="仿宋" w:cs="Times New Roman"/>
          <w:color w:val="000000"/>
          <w:szCs w:val="32"/>
        </w:rPr>
        <w:t>冲积扇平原，属典型的温带大陆性气候，干旱少雨，昼夜温差大，光热资源丰富，依赖叶尔羌河灌溉，与南疆农业区情况基本一致。</w:t>
      </w:r>
      <w:r>
        <w:rPr>
          <w:rFonts w:hint="eastAsia" w:eastAsia="仿宋" w:cs="Times New Roman"/>
          <w:color w:val="000000"/>
          <w:szCs w:val="32"/>
        </w:rPr>
        <w:t>五个行政村总人口</w:t>
      </w:r>
      <w:r>
        <w:rPr>
          <w:rFonts w:hint="eastAsia" w:eastAsia="仿宋" w:cs="Times New Roman"/>
          <w:color w:val="000000"/>
          <w:szCs w:val="32"/>
          <w:lang w:val="en-US" w:eastAsia="zh-CN"/>
        </w:rPr>
        <w:t>8484</w:t>
      </w:r>
      <w:r>
        <w:rPr>
          <w:rFonts w:hint="eastAsia" w:eastAsia="仿宋" w:cs="Times New Roman"/>
          <w:color w:val="000000"/>
          <w:szCs w:val="32"/>
        </w:rPr>
        <w:t>人，各村规模</w:t>
      </w:r>
      <w:r>
        <w:rPr>
          <w:rFonts w:hint="eastAsia" w:eastAsia="仿宋" w:cs="Times New Roman"/>
          <w:color w:val="000000"/>
          <w:szCs w:val="32"/>
          <w:lang w:val="en-US" w:eastAsia="zh-CN"/>
        </w:rPr>
        <w:t>在</w:t>
      </w:r>
      <w:r>
        <w:rPr>
          <w:rFonts w:hint="eastAsia" w:eastAsia="仿宋" w:cs="Times New Roman"/>
          <w:color w:val="000000"/>
          <w:szCs w:val="32"/>
        </w:rPr>
        <w:t>1134到2286人之间，二林场人口相对较少（95人），人口结构以维吾尔族为主，占到99%以上，与莎车县人口整体特征基本一致。产业方面，5个行政村与林场均以巴旦</w:t>
      </w:r>
      <w:r>
        <w:rPr>
          <w:rFonts w:hint="eastAsia" w:eastAsia="仿宋" w:cs="Times New Roman"/>
          <w:color w:val="000000"/>
          <w:szCs w:val="32"/>
          <w:lang w:eastAsia="zh-CN"/>
        </w:rPr>
        <w:t>姆</w:t>
      </w:r>
      <w:r>
        <w:rPr>
          <w:rFonts w:hint="eastAsia" w:eastAsia="仿宋" w:cs="Times New Roman"/>
          <w:color w:val="000000"/>
          <w:szCs w:val="32"/>
        </w:rPr>
        <w:t>种植为主导产业，种植总面积达到7284</w:t>
      </w:r>
      <w:r>
        <w:rPr>
          <w:rFonts w:hint="eastAsia" w:eastAsia="仿宋" w:cs="Times New Roman"/>
          <w:color w:val="000000"/>
          <w:szCs w:val="32"/>
          <w:lang w:val="en-US" w:eastAsia="zh-CN"/>
        </w:rPr>
        <w:t>.6</w:t>
      </w:r>
      <w:r>
        <w:rPr>
          <w:rFonts w:hint="eastAsia" w:eastAsia="仿宋" w:cs="Times New Roman"/>
          <w:color w:val="000000"/>
          <w:szCs w:val="32"/>
        </w:rPr>
        <w:t>亩，占全县巴旦</w:t>
      </w:r>
      <w:r>
        <w:rPr>
          <w:rFonts w:hint="eastAsia" w:eastAsia="仿宋" w:cs="Times New Roman"/>
          <w:color w:val="000000"/>
          <w:szCs w:val="32"/>
          <w:lang w:eastAsia="zh-CN"/>
        </w:rPr>
        <w:t>姆</w:t>
      </w:r>
      <w:r>
        <w:rPr>
          <w:rFonts w:hint="eastAsia" w:eastAsia="仿宋" w:cs="Times New Roman"/>
          <w:color w:val="000000"/>
          <w:szCs w:val="32"/>
        </w:rPr>
        <w:t>种植面积</w:t>
      </w:r>
      <w:r>
        <w:rPr>
          <w:rFonts w:hint="eastAsia" w:eastAsia="仿宋" w:cs="Times New Roman"/>
          <w:color w:val="000000"/>
          <w:szCs w:val="32"/>
          <w:lang w:val="en-US" w:eastAsia="zh-CN"/>
        </w:rPr>
        <w:t>百</w:t>
      </w:r>
      <w:r>
        <w:rPr>
          <w:rFonts w:hint="eastAsia" w:eastAsia="仿宋" w:cs="Times New Roman"/>
          <w:color w:val="000000"/>
          <w:szCs w:val="32"/>
        </w:rPr>
        <w:t>分之</w:t>
      </w:r>
      <w:r>
        <w:rPr>
          <w:rFonts w:hint="eastAsia" w:eastAsia="仿宋" w:cs="Times New Roman"/>
          <w:color w:val="000000"/>
          <w:szCs w:val="32"/>
          <w:lang w:val="en-US" w:eastAsia="zh-CN"/>
        </w:rPr>
        <w:t>二</w:t>
      </w:r>
      <w:r>
        <w:rPr>
          <w:rFonts w:hint="eastAsia" w:eastAsia="仿宋" w:cs="Times New Roman"/>
          <w:color w:val="000000"/>
          <w:szCs w:val="32"/>
        </w:rPr>
        <w:t>以上，其中阔纳阿日希村种植面积最大，达到2150亩。除主导产业外，部分村庄发展多元化经营，如阔纳阿日希村以肉牛养殖、库</w:t>
      </w:r>
      <w:r>
        <w:rPr>
          <w:rFonts w:hint="eastAsia" w:eastAsia="仿宋" w:cs="Times New Roman"/>
          <w:color w:val="000000"/>
          <w:szCs w:val="32"/>
          <w:lang w:val="en-US" w:eastAsia="zh-CN"/>
        </w:rPr>
        <w:t>木</w:t>
      </w:r>
      <w:r>
        <w:rPr>
          <w:rFonts w:hint="eastAsia" w:eastAsia="仿宋" w:cs="Times New Roman"/>
          <w:color w:val="000000"/>
          <w:szCs w:val="32"/>
        </w:rPr>
        <w:t>库勒村以鸽子养殖等为补充产业，阿热勒乡阿孜干巴格村依托每年举办巴旦</w:t>
      </w:r>
      <w:r>
        <w:rPr>
          <w:rFonts w:hint="eastAsia" w:eastAsia="仿宋" w:cs="Times New Roman"/>
          <w:color w:val="000000"/>
          <w:szCs w:val="32"/>
          <w:lang w:eastAsia="zh-CN"/>
        </w:rPr>
        <w:t>姆</w:t>
      </w:r>
      <w:r>
        <w:rPr>
          <w:rFonts w:hint="eastAsia" w:eastAsia="仿宋" w:cs="Times New Roman"/>
          <w:color w:val="000000"/>
          <w:szCs w:val="32"/>
        </w:rPr>
        <w:t>花节，通过乡村旅游带动了当地村民收入。2024年，各村村集体总收入在20-80万元不等，经营性收入在0-20万不等，农民人均纯收入约2万元，各村人均纯收入差异性较小，收入未出现明显分化，均高于莎车县平均农村居民人均可支配收入（</w:t>
      </w:r>
      <w:r>
        <w:rPr>
          <w:rFonts w:eastAsia="仿宋" w:cs="Times New Roman"/>
          <w:color w:val="000000"/>
          <w:szCs w:val="32"/>
        </w:rPr>
        <w:t>13426</w:t>
      </w:r>
      <w:r>
        <w:rPr>
          <w:rFonts w:hint="eastAsia" w:eastAsia="仿宋" w:cs="Times New Roman"/>
          <w:color w:val="000000"/>
          <w:szCs w:val="32"/>
        </w:rPr>
        <w:t>元），说明巴旦</w:t>
      </w:r>
      <w:r>
        <w:rPr>
          <w:rFonts w:hint="eastAsia" w:eastAsia="仿宋" w:cs="Times New Roman"/>
          <w:color w:val="000000"/>
          <w:szCs w:val="32"/>
          <w:lang w:eastAsia="zh-CN"/>
        </w:rPr>
        <w:t>姆</w:t>
      </w:r>
      <w:r>
        <w:rPr>
          <w:rFonts w:hint="eastAsia" w:eastAsia="仿宋" w:cs="Times New Roman"/>
          <w:color w:val="000000"/>
          <w:szCs w:val="32"/>
        </w:rPr>
        <w:t>种植对农民增收发挥重要作用。二林场属国有农场，主要承担巴旦</w:t>
      </w:r>
      <w:r>
        <w:rPr>
          <w:rFonts w:hint="eastAsia" w:eastAsia="仿宋" w:cs="Times New Roman"/>
          <w:color w:val="000000"/>
          <w:szCs w:val="32"/>
          <w:lang w:eastAsia="zh-CN"/>
        </w:rPr>
        <w:t>姆</w:t>
      </w:r>
      <w:r>
        <w:rPr>
          <w:rFonts w:hint="eastAsia" w:eastAsia="仿宋" w:cs="Times New Roman"/>
          <w:color w:val="000000"/>
          <w:szCs w:val="32"/>
        </w:rPr>
        <w:t>种质资源保护与</w:t>
      </w:r>
      <w:r>
        <w:rPr>
          <w:rFonts w:eastAsia="仿宋" w:cs="Times New Roman"/>
          <w:color w:val="000000"/>
          <w:szCs w:val="32"/>
        </w:rPr>
        <w:t>种植技术</w:t>
      </w:r>
      <w:r>
        <w:rPr>
          <w:rFonts w:hint="eastAsia" w:eastAsia="仿宋" w:cs="Times New Roman"/>
          <w:color w:val="000000"/>
          <w:szCs w:val="32"/>
        </w:rPr>
        <w:t>指导等职能，</w:t>
      </w:r>
      <w:r>
        <w:rPr>
          <w:rFonts w:eastAsia="仿宋" w:cs="Times New Roman"/>
          <w:color w:val="000000"/>
          <w:szCs w:val="32"/>
        </w:rPr>
        <w:t>为全县巴旦</w:t>
      </w:r>
      <w:r>
        <w:rPr>
          <w:rFonts w:hint="eastAsia" w:eastAsia="仿宋" w:cs="Times New Roman"/>
          <w:color w:val="000000"/>
          <w:szCs w:val="32"/>
          <w:lang w:eastAsia="zh-CN"/>
        </w:rPr>
        <w:t>姆</w:t>
      </w:r>
      <w:r>
        <w:rPr>
          <w:rFonts w:eastAsia="仿宋" w:cs="Times New Roman"/>
          <w:color w:val="000000"/>
          <w:szCs w:val="32"/>
        </w:rPr>
        <w:t>产业发展提供技术支撑</w:t>
      </w:r>
      <w:r>
        <w:rPr>
          <w:rFonts w:hint="eastAsia" w:eastAsia="仿宋" w:cs="Times New Roman"/>
          <w:color w:val="000000"/>
          <w:szCs w:val="32"/>
        </w:rPr>
        <w:t>。</w:t>
      </w:r>
    </w:p>
    <w:p>
      <w:pPr>
        <w:adjustRightInd w:val="0"/>
        <w:snapToGrid w:val="0"/>
        <w:spacing w:before="386" w:beforeLines="100" w:line="360" w:lineRule="auto"/>
        <w:ind w:firstLine="648"/>
        <w:jc w:val="center"/>
        <w:rPr>
          <w:rFonts w:eastAsia="仿宋" w:cs="Times New Roman"/>
          <w:b/>
          <w:bCs/>
          <w:sz w:val="30"/>
          <w:szCs w:val="30"/>
        </w:rPr>
      </w:pPr>
      <w:bookmarkStart w:id="5" w:name="_Hlk222604187"/>
      <w:r>
        <w:rPr>
          <w:rFonts w:eastAsia="仿宋" w:cs="Times New Roman"/>
          <w:b/>
          <w:bCs/>
          <w:sz w:val="30"/>
          <w:szCs w:val="30"/>
        </w:rPr>
        <w:t>表</w:t>
      </w:r>
      <w:r>
        <w:rPr>
          <w:rFonts w:hint="eastAsia" w:eastAsia="仿宋" w:cs="Times New Roman"/>
          <w:b/>
          <w:bCs/>
          <w:sz w:val="30"/>
          <w:szCs w:val="30"/>
        </w:rPr>
        <w:t>1-1</w:t>
      </w:r>
      <w:r>
        <w:rPr>
          <w:rFonts w:eastAsia="仿宋" w:cs="Times New Roman"/>
          <w:b/>
          <w:bCs/>
          <w:sz w:val="30"/>
          <w:szCs w:val="30"/>
        </w:rPr>
        <w:t>遗产核心保护区域基本情况</w:t>
      </w:r>
    </w:p>
    <w:bookmarkEnd w:id="5"/>
    <w:tbl>
      <w:tblPr>
        <w:tblStyle w:val="25"/>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76"/>
        <w:gridCol w:w="850"/>
        <w:gridCol w:w="992"/>
        <w:gridCol w:w="1134"/>
        <w:gridCol w:w="993"/>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b/>
                <w:bCs/>
                <w:sz w:val="24"/>
                <w:szCs w:val="24"/>
              </w:rPr>
            </w:pPr>
            <w:r>
              <w:rPr>
                <w:rFonts w:eastAsia="仿宋" w:cs="Times New Roman"/>
                <w:b/>
                <w:bCs/>
                <w:sz w:val="24"/>
                <w:szCs w:val="24"/>
              </w:rPr>
              <w:t>村</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b/>
                <w:bCs/>
                <w:sz w:val="24"/>
                <w:szCs w:val="24"/>
              </w:rPr>
            </w:pPr>
            <w:r>
              <w:rPr>
                <w:rFonts w:eastAsia="仿宋" w:cs="Times New Roman"/>
                <w:b/>
                <w:bCs/>
                <w:sz w:val="24"/>
                <w:szCs w:val="24"/>
              </w:rPr>
              <w:t>经度</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b/>
                <w:bCs/>
                <w:sz w:val="24"/>
                <w:szCs w:val="24"/>
              </w:rPr>
            </w:pPr>
            <w:r>
              <w:rPr>
                <w:rFonts w:eastAsia="仿宋" w:cs="Times New Roman"/>
                <w:b/>
                <w:bCs/>
                <w:sz w:val="24"/>
                <w:szCs w:val="24"/>
              </w:rPr>
              <w:t>纬度</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b/>
                <w:bCs/>
                <w:sz w:val="24"/>
                <w:szCs w:val="24"/>
              </w:rPr>
            </w:pPr>
            <w:r>
              <w:rPr>
                <w:rFonts w:eastAsia="仿宋" w:cs="Times New Roman"/>
                <w:b/>
                <w:bCs/>
                <w:sz w:val="24"/>
                <w:szCs w:val="24"/>
              </w:rPr>
              <w:t>面积</w:t>
            </w:r>
            <w:r>
              <w:rPr>
                <w:rFonts w:hint="eastAsia" w:eastAsia="仿宋" w:cs="Times New Roman"/>
                <w:b/>
                <w:bCs/>
                <w:sz w:val="24"/>
                <w:szCs w:val="24"/>
              </w:rPr>
              <w:t>(亩)</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b/>
                <w:bCs/>
                <w:sz w:val="24"/>
                <w:szCs w:val="24"/>
              </w:rPr>
            </w:pPr>
            <w:r>
              <w:rPr>
                <w:rFonts w:hint="eastAsia" w:eastAsia="仿宋" w:cs="Times New Roman"/>
                <w:b/>
                <w:bCs/>
                <w:sz w:val="24"/>
                <w:szCs w:val="24"/>
              </w:rPr>
              <w:t>耕地面积</w:t>
            </w:r>
            <w:r>
              <w:rPr>
                <w:rFonts w:eastAsia="仿宋" w:cs="Times New Roman"/>
                <w:b/>
                <w:bCs/>
                <w:sz w:val="24"/>
                <w:szCs w:val="24"/>
              </w:rPr>
              <w:br w:type="textWrapping"/>
            </w:r>
            <w:r>
              <w:rPr>
                <w:rFonts w:hint="eastAsia" w:eastAsia="仿宋" w:cs="Times New Roman"/>
                <w:b/>
                <w:bCs/>
                <w:sz w:val="24"/>
                <w:szCs w:val="24"/>
              </w:rPr>
              <w:t>(亩)</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b/>
                <w:bCs/>
                <w:sz w:val="24"/>
                <w:szCs w:val="24"/>
              </w:rPr>
            </w:pPr>
            <w:r>
              <w:rPr>
                <w:rFonts w:hint="eastAsia" w:eastAsia="仿宋" w:cs="Times New Roman"/>
                <w:b/>
                <w:bCs/>
                <w:sz w:val="24"/>
                <w:szCs w:val="24"/>
              </w:rPr>
              <w:t>人口数(人)</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eastAsia="仿宋" w:cs="Times New Roman"/>
                <w:b/>
                <w:bCs/>
                <w:sz w:val="24"/>
                <w:szCs w:val="24"/>
              </w:rPr>
            </w:pPr>
            <w:r>
              <w:rPr>
                <w:rFonts w:hint="eastAsia" w:eastAsia="仿宋" w:cs="Times New Roman"/>
                <w:b/>
                <w:bCs/>
                <w:sz w:val="24"/>
                <w:szCs w:val="24"/>
              </w:rPr>
              <w:t>农民年人均收入(元)</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b/>
                <w:bCs/>
                <w:sz w:val="24"/>
                <w:szCs w:val="24"/>
              </w:rPr>
            </w:pPr>
            <w:r>
              <w:rPr>
                <w:rFonts w:hint="eastAsia" w:eastAsia="仿宋" w:cs="Times New Roman"/>
                <w:b/>
                <w:bCs/>
                <w:sz w:val="24"/>
                <w:szCs w:val="24"/>
              </w:rPr>
              <w:t>巴旦</w:t>
            </w:r>
            <w:r>
              <w:rPr>
                <w:rFonts w:hint="eastAsia" w:eastAsia="仿宋" w:cs="Times New Roman"/>
                <w:b/>
                <w:bCs/>
                <w:sz w:val="24"/>
                <w:szCs w:val="24"/>
                <w:lang w:eastAsia="zh-CN"/>
              </w:rPr>
              <w:t>姆</w:t>
            </w:r>
            <w:r>
              <w:rPr>
                <w:rFonts w:hint="eastAsia" w:eastAsia="仿宋" w:cs="Times New Roman"/>
                <w:b/>
                <w:bCs/>
                <w:sz w:val="24"/>
                <w:szCs w:val="24"/>
              </w:rPr>
              <w:t>种植面积(亩)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tcBorders>
              <w:top w:val="nil"/>
              <w:left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阿热勒乡</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巴依都维（12）村</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77.289 E</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38.392 N</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7724.5</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3825</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1817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color w:val="000000"/>
                <w:sz w:val="22"/>
              </w:rPr>
              <w:t>24400</w:t>
            </w:r>
          </w:p>
        </w:tc>
        <w:tc>
          <w:tcPr>
            <w:tcW w:w="11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952.7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阿孜干巴格（14）村</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77.284 E</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38.365 N</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4589.9</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3164</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1134</w:t>
            </w:r>
          </w:p>
        </w:tc>
        <w:tc>
          <w:tcPr>
            <w:tcW w:w="1134" w:type="dxa"/>
            <w:tcBorders>
              <w:top w:val="nil"/>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color w:val="000000"/>
                <w:sz w:val="22"/>
              </w:rPr>
              <w:t>18921</w:t>
            </w:r>
          </w:p>
        </w:tc>
        <w:tc>
          <w:tcPr>
            <w:tcW w:w="11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1685.1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阿瓦提镇</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阔纳阿日希（8）村</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77.386 E</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38.571 N</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14850</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9563</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2286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sz w:val="22"/>
              </w:rPr>
            </w:pPr>
            <w:r>
              <w:rPr>
                <w:rFonts w:hint="eastAsia"/>
                <w:color w:val="000000"/>
                <w:sz w:val="22"/>
              </w:rPr>
              <w:t>19725</w:t>
            </w:r>
          </w:p>
        </w:tc>
        <w:tc>
          <w:tcPr>
            <w:tcW w:w="11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库</w:t>
            </w:r>
            <w:r>
              <w:rPr>
                <w:rFonts w:hint="eastAsia" w:eastAsia="仿宋" w:cs="Times New Roman"/>
                <w:sz w:val="24"/>
                <w:szCs w:val="24"/>
                <w:lang w:val="en-US" w:eastAsia="zh-CN"/>
              </w:rPr>
              <w:t>木</w:t>
            </w:r>
            <w:r>
              <w:rPr>
                <w:rFonts w:hint="eastAsia" w:eastAsia="仿宋" w:cs="Times New Roman"/>
                <w:sz w:val="24"/>
                <w:szCs w:val="24"/>
              </w:rPr>
              <w:t>库勒（13）村</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77.396 E</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38.629 N</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4393.5</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2852</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1187</w:t>
            </w:r>
          </w:p>
        </w:tc>
        <w:tc>
          <w:tcPr>
            <w:tcW w:w="1134" w:type="dxa"/>
            <w:tcBorders>
              <w:top w:val="nil"/>
              <w:left w:val="single" w:color="auto" w:sz="4" w:space="0"/>
              <w:bottom w:val="single" w:color="000000" w:sz="4" w:space="0"/>
              <w:right w:val="single" w:color="auto" w:sz="4" w:space="0"/>
            </w:tcBorders>
            <w:vAlign w:val="center"/>
          </w:tcPr>
          <w:p>
            <w:pPr>
              <w:adjustRightInd w:val="0"/>
              <w:snapToGrid w:val="0"/>
              <w:spacing w:line="240" w:lineRule="auto"/>
              <w:ind w:firstLine="0" w:firstLineChars="0"/>
              <w:jc w:val="center"/>
              <w:rPr>
                <w:color w:val="000000"/>
                <w:sz w:val="22"/>
              </w:rPr>
            </w:pPr>
            <w:r>
              <w:rPr>
                <w:rFonts w:hint="eastAsia"/>
                <w:color w:val="000000"/>
                <w:sz w:val="22"/>
              </w:rPr>
              <w:t>20501.13</w:t>
            </w:r>
          </w:p>
        </w:tc>
        <w:tc>
          <w:tcPr>
            <w:tcW w:w="11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塔尕尔其镇</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库吾其（21）村</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77.266 E</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38.557 N</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5285</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3776</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1965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19954</w:t>
            </w:r>
          </w:p>
        </w:tc>
        <w:tc>
          <w:tcPr>
            <w:tcW w:w="11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宋体" w:cs="Times New Roman"/>
                <w:color w:val="000000"/>
                <w:kern w:val="0"/>
                <w:sz w:val="24"/>
              </w:rPr>
              <w:t>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二</w:t>
            </w:r>
            <w:r>
              <w:rPr>
                <w:rFonts w:eastAsia="仿宋" w:cs="Times New Roman"/>
                <w:sz w:val="24"/>
                <w:szCs w:val="24"/>
              </w:rPr>
              <w:t>林场</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二</w:t>
            </w:r>
            <w:r>
              <w:rPr>
                <w:rFonts w:eastAsia="仿宋" w:cs="Times New Roman"/>
                <w:sz w:val="24"/>
                <w:szCs w:val="24"/>
              </w:rPr>
              <w:t>林场</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76.137 E</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38.199 N</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4650</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2646</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95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color w:val="000000" w:themeColor="text1"/>
                <w:sz w:val="24"/>
                <w:szCs w:val="24"/>
              </w:rPr>
            </w:pPr>
            <w:r>
              <w:rPr>
                <w:rFonts w:hint="eastAsia" w:eastAsia="仿宋" w:cs="Times New Roman"/>
                <w:color w:val="000000" w:themeColor="text1"/>
                <w:sz w:val="24"/>
                <w:szCs w:val="24"/>
              </w:rPr>
              <w:t>41492.9</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25826</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hint="eastAsia" w:eastAsia="仿宋" w:cs="Times New Roman"/>
                <w:sz w:val="24"/>
                <w:szCs w:val="24"/>
              </w:rPr>
              <w:t>8484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cs="Times New Roman"/>
                <w:sz w:val="24"/>
                <w:szCs w:val="24"/>
              </w:rPr>
            </w:pPr>
            <w:r>
              <w:rPr>
                <w:rFonts w:eastAsia="仿宋" w:cs="Times New Roman"/>
                <w:sz w:val="24"/>
                <w:szCs w:val="24"/>
              </w:rPr>
              <w:t>7284.6</w:t>
            </w:r>
          </w:p>
        </w:tc>
      </w:tr>
    </w:tbl>
    <w:p>
      <w:pPr>
        <w:ind w:firstLine="686"/>
        <w:rPr>
          <w:rFonts w:eastAsia="仿宋" w:cs="Times New Roman"/>
          <w:color w:val="000000"/>
          <w:szCs w:val="32"/>
        </w:rPr>
      </w:pPr>
      <w:r>
        <w:rPr>
          <w:rFonts w:hint="eastAsia" w:eastAsia="仿宋" w:cs="Times New Roman"/>
          <w:color w:val="000000"/>
          <w:szCs w:val="32"/>
        </w:rPr>
        <w:t>核心保护区域所在行政村、林场基本情况参见附件1。</w:t>
      </w:r>
    </w:p>
    <w:p>
      <w:pPr>
        <w:pStyle w:val="21"/>
        <w:spacing w:after="0"/>
        <w:ind w:firstLine="644" w:firstLineChars="200"/>
        <w:rPr>
          <w:rFonts w:hint="eastAsia" w:ascii="仿宋" w:hAnsi="仿宋" w:eastAsia="仿宋"/>
          <w:color w:val="auto"/>
        </w:rPr>
      </w:pPr>
      <w:r>
        <w:rPr>
          <w:rFonts w:hint="eastAsia" w:ascii="仿宋" w:hAnsi="仿宋" w:eastAsia="仿宋"/>
          <w:color w:val="auto"/>
        </w:rPr>
        <w:t>2.主要分布区域</w:t>
      </w:r>
    </w:p>
    <w:p>
      <w:pPr>
        <w:ind w:firstLine="686"/>
        <w:rPr>
          <w:rFonts w:eastAsia="仿宋" w:cs="Times New Roman"/>
          <w:color w:val="000000"/>
          <w:szCs w:val="32"/>
        </w:rPr>
      </w:pPr>
      <w:r>
        <w:rPr>
          <w:rFonts w:hint="eastAsia" w:eastAsia="仿宋" w:cs="Times New Roman"/>
          <w:color w:val="000000"/>
          <w:szCs w:val="32"/>
        </w:rPr>
        <w:t>除5个核心村和1个国有林场外，遗产地另外涵盖10个行政村。各村面积介于1.56平方公里至4.62平方公里之间，分布于莎车县城城郊及东北部，距县城较近，均有乡道与县城连接，多数紧邻国道、县乡级公路等路网，车程基本在1个小时以内，交通便捷。</w:t>
      </w:r>
    </w:p>
    <w:p>
      <w:pPr>
        <w:ind w:firstLine="686"/>
        <w:rPr>
          <w:rFonts w:eastAsia="仿宋" w:cs="Times New Roman"/>
          <w:color w:val="000000"/>
          <w:szCs w:val="32"/>
        </w:rPr>
      </w:pPr>
      <w:r>
        <w:rPr>
          <w:rFonts w:hint="eastAsia" w:eastAsia="仿宋" w:cs="Times New Roman"/>
          <w:color w:val="000000"/>
          <w:szCs w:val="32"/>
        </w:rPr>
        <w:t>自然条件方面，各村地处昆仑山北坡、塔里</w:t>
      </w:r>
      <w:r>
        <w:rPr>
          <w:rFonts w:hint="eastAsia" w:eastAsia="仿宋" w:cs="Times New Roman"/>
          <w:color w:val="000000"/>
          <w:szCs w:val="32"/>
          <w:lang w:val="en-US" w:eastAsia="zh-CN"/>
        </w:rPr>
        <w:t>木</w:t>
      </w:r>
      <w:r>
        <w:rPr>
          <w:rFonts w:hint="eastAsia" w:eastAsia="仿宋" w:cs="Times New Roman"/>
          <w:color w:val="000000"/>
          <w:szCs w:val="32"/>
        </w:rPr>
        <w:t>盆地南缘，县境平均海拔1231.2米。属暖温带大陆性气候，气候干燥，年均降水量56.6毫米，光照充足，十分适合巴旦</w:t>
      </w:r>
      <w:r>
        <w:rPr>
          <w:rFonts w:hint="eastAsia" w:eastAsia="仿宋" w:cs="Times New Roman"/>
          <w:color w:val="000000"/>
          <w:szCs w:val="32"/>
          <w:lang w:eastAsia="zh-CN"/>
        </w:rPr>
        <w:t>姆</w:t>
      </w:r>
      <w:r>
        <w:rPr>
          <w:rFonts w:hint="eastAsia" w:eastAsia="仿宋" w:cs="Times New Roman"/>
          <w:color w:val="000000"/>
          <w:szCs w:val="32"/>
        </w:rPr>
        <w:t>的生长。村庄均毗邻叶尔羌河，灌溉水资源比较丰富，土壤类型以灌淤土质地壤土为主，适合巴旦</w:t>
      </w:r>
      <w:r>
        <w:rPr>
          <w:rFonts w:hint="eastAsia" w:eastAsia="仿宋" w:cs="Times New Roman"/>
          <w:color w:val="000000"/>
          <w:szCs w:val="32"/>
          <w:lang w:eastAsia="zh-CN"/>
        </w:rPr>
        <w:t>姆</w:t>
      </w:r>
      <w:r>
        <w:rPr>
          <w:rFonts w:hint="eastAsia" w:eastAsia="仿宋" w:cs="Times New Roman"/>
          <w:color w:val="000000"/>
          <w:szCs w:val="32"/>
        </w:rPr>
        <w:t>生长。</w:t>
      </w:r>
    </w:p>
    <w:p>
      <w:pPr>
        <w:ind w:firstLine="686"/>
        <w:rPr>
          <w:rFonts w:eastAsia="仿宋" w:cs="Times New Roman"/>
          <w:color w:val="000000"/>
          <w:szCs w:val="32"/>
        </w:rPr>
      </w:pPr>
      <w:r>
        <w:rPr>
          <w:rFonts w:hint="eastAsia" w:eastAsia="仿宋" w:cs="Times New Roman"/>
          <w:color w:val="000000"/>
          <w:szCs w:val="32"/>
        </w:rPr>
        <w:t>人口与民族方面，10个行政村人口规模在910至2114人之间，以维吾尔族为主体，占总人口99%以上，为典型的少数民族聚居区，与莎车县其它乡村基本一致。</w:t>
      </w:r>
    </w:p>
    <w:p>
      <w:pPr>
        <w:ind w:firstLine="686"/>
        <w:rPr>
          <w:rFonts w:eastAsia="仿宋" w:cs="Times New Roman"/>
          <w:color w:val="000000"/>
          <w:szCs w:val="32"/>
        </w:rPr>
      </w:pPr>
      <w:r>
        <w:rPr>
          <w:rFonts w:hint="eastAsia" w:eastAsia="仿宋" w:cs="Times New Roman"/>
          <w:color w:val="000000"/>
          <w:szCs w:val="32"/>
        </w:rPr>
        <w:t>产业发展方面，各村以农业为主要生计，普遍采用林粮、林经间作与家畜养殖的复合农业模式，整体上以传统巴旦</w:t>
      </w:r>
      <w:r>
        <w:rPr>
          <w:rFonts w:hint="eastAsia" w:eastAsia="仿宋" w:cs="Times New Roman"/>
          <w:color w:val="000000"/>
          <w:szCs w:val="32"/>
          <w:lang w:eastAsia="zh-CN"/>
        </w:rPr>
        <w:t>姆</w:t>
      </w:r>
      <w:r>
        <w:rPr>
          <w:rFonts w:hint="eastAsia" w:eastAsia="仿宋" w:cs="Times New Roman"/>
          <w:color w:val="000000"/>
          <w:szCs w:val="32"/>
        </w:rPr>
        <w:t>种植为主，辅以肉牛、肉鸽等养殖；部分村同时发展纺织加工、乡村旅游、农产品电商等特色产业，与莎车县域内其它以樱桃、新梅等新鲜瓜果产业为特色的村庄形成互补与差异。</w:t>
      </w:r>
    </w:p>
    <w:p>
      <w:pPr>
        <w:ind w:firstLine="686"/>
        <w:rPr>
          <w:rFonts w:eastAsia="仿宋" w:cs="Times New Roman"/>
          <w:color w:val="000000"/>
          <w:szCs w:val="32"/>
        </w:rPr>
      </w:pPr>
      <w:r>
        <w:rPr>
          <w:rFonts w:hint="eastAsia" w:eastAsia="仿宋" w:cs="Times New Roman"/>
          <w:color w:val="000000"/>
          <w:szCs w:val="32"/>
        </w:rPr>
        <w:t>经济收入方面，村集体经济与经营性收入规模不一。2024年，遗产分布区的10个行政村的农民人均纯收入在2万元左右，各村间差异较小，且均显著高于莎车县农村居民人均可支配收入（</w:t>
      </w:r>
      <w:r>
        <w:rPr>
          <w:rFonts w:eastAsia="仿宋" w:cs="Times New Roman"/>
          <w:color w:val="000000"/>
          <w:szCs w:val="32"/>
        </w:rPr>
        <w:t>13426</w:t>
      </w:r>
      <w:r>
        <w:rPr>
          <w:rFonts w:hint="eastAsia" w:eastAsia="仿宋" w:cs="Times New Roman"/>
          <w:color w:val="000000"/>
          <w:szCs w:val="32"/>
        </w:rPr>
        <w:t>元）</w:t>
      </w:r>
      <w:bookmarkEnd w:id="1"/>
      <w:r>
        <w:rPr>
          <w:rFonts w:hint="eastAsia" w:eastAsia="仿宋" w:cs="Times New Roman"/>
          <w:color w:val="000000"/>
          <w:szCs w:val="32"/>
        </w:rPr>
        <w:t>，这表明巴旦</w:t>
      </w:r>
      <w:r>
        <w:rPr>
          <w:rFonts w:hint="eastAsia" w:eastAsia="仿宋" w:cs="Times New Roman"/>
          <w:color w:val="000000"/>
          <w:szCs w:val="32"/>
          <w:lang w:eastAsia="zh-CN"/>
        </w:rPr>
        <w:t>姆</w:t>
      </w:r>
      <w:r>
        <w:rPr>
          <w:rFonts w:hint="eastAsia" w:eastAsia="仿宋" w:cs="Times New Roman"/>
          <w:color w:val="000000"/>
          <w:szCs w:val="32"/>
        </w:rPr>
        <w:t>产业对当地农民增收贡献较为突出。</w:t>
      </w:r>
    </w:p>
    <w:p>
      <w:pPr>
        <w:ind w:firstLine="686"/>
        <w:rPr>
          <w:rFonts w:eastAsia="仿宋" w:cs="Times New Roman"/>
          <w:color w:val="000000"/>
          <w:szCs w:val="32"/>
        </w:rPr>
      </w:pPr>
      <w:r>
        <w:rPr>
          <w:rFonts w:hint="eastAsia" w:eastAsia="仿宋" w:cs="Times New Roman"/>
          <w:color w:val="000000"/>
          <w:szCs w:val="32"/>
        </w:rPr>
        <w:t>主要分布区域内其他行政村基本情况参见附件2。</w:t>
      </w:r>
    </w:p>
    <w:p>
      <w:pPr>
        <w:pStyle w:val="3"/>
        <w:rPr>
          <w:color w:val="auto"/>
        </w:rPr>
      </w:pPr>
      <w:bookmarkStart w:id="6" w:name="_Toc224309330"/>
      <w:r>
        <w:rPr>
          <w:rFonts w:hint="eastAsia"/>
          <w:color w:val="auto"/>
        </w:rPr>
        <w:t>（四）核心保护要素情况</w:t>
      </w:r>
      <w:bookmarkEnd w:id="6"/>
    </w:p>
    <w:p>
      <w:pPr>
        <w:ind w:firstLine="686"/>
        <w:rPr>
          <w:rFonts w:eastAsia="仿宋" w:cs="Times New Roman"/>
          <w:color w:val="000000"/>
          <w:szCs w:val="32"/>
        </w:rPr>
      </w:pPr>
      <w:bookmarkStart w:id="7" w:name="_Hlk220917673"/>
      <w:r>
        <w:rPr>
          <w:rFonts w:hint="eastAsia" w:eastAsia="仿宋" w:cs="Times New Roman"/>
          <w:color w:val="000000"/>
          <w:szCs w:val="32"/>
        </w:rPr>
        <w:t>基于莎车巴旦</w:t>
      </w:r>
      <w:r>
        <w:rPr>
          <w:rFonts w:hint="eastAsia" w:eastAsia="仿宋" w:cs="Times New Roman"/>
          <w:color w:val="000000"/>
          <w:szCs w:val="32"/>
          <w:lang w:eastAsia="zh-CN"/>
        </w:rPr>
        <w:t>姆</w:t>
      </w:r>
      <w:r>
        <w:rPr>
          <w:rFonts w:hint="eastAsia" w:eastAsia="仿宋" w:cs="Times New Roman"/>
          <w:color w:val="000000"/>
          <w:szCs w:val="32"/>
        </w:rPr>
        <w:t>栽培系统本底资源调查，经专家论证及相关部门、乡镇核对</w:t>
      </w:r>
      <w:r>
        <w:rPr>
          <w:rFonts w:eastAsia="仿宋" w:cs="Times New Roman"/>
          <w:color w:val="000000"/>
          <w:szCs w:val="32"/>
        </w:rPr>
        <w:t>，</w:t>
      </w:r>
      <w:r>
        <w:rPr>
          <w:rFonts w:hint="eastAsia" w:eastAsia="仿宋" w:cs="Times New Roman"/>
          <w:color w:val="000000"/>
          <w:szCs w:val="32"/>
        </w:rPr>
        <w:t>确认主要分布区域内涵</w:t>
      </w:r>
      <w:r>
        <w:rPr>
          <w:rFonts w:eastAsia="仿宋" w:cs="Times New Roman"/>
          <w:color w:val="000000"/>
          <w:szCs w:val="32"/>
        </w:rPr>
        <w:t>盖</w:t>
      </w:r>
      <w:r>
        <w:rPr>
          <w:rFonts w:hint="eastAsia" w:eastAsia="仿宋" w:cs="Times New Roman"/>
          <w:color w:val="000000"/>
          <w:szCs w:val="32"/>
        </w:rPr>
        <w:t>8</w:t>
      </w:r>
      <w:r>
        <w:rPr>
          <w:rFonts w:eastAsia="仿宋" w:cs="Times New Roman"/>
          <w:color w:val="000000"/>
          <w:szCs w:val="32"/>
        </w:rPr>
        <w:t>个不同类型</w:t>
      </w:r>
      <w:bookmarkEnd w:id="7"/>
      <w:r>
        <w:rPr>
          <w:rFonts w:eastAsia="仿宋" w:cs="Times New Roman"/>
          <w:color w:val="000000"/>
          <w:szCs w:val="32"/>
        </w:rPr>
        <w:t>核心保护要素</w:t>
      </w:r>
      <w:r>
        <w:rPr>
          <w:rFonts w:hint="eastAsia" w:eastAsia="仿宋" w:cs="Times New Roman"/>
          <w:color w:val="000000"/>
          <w:szCs w:val="32"/>
          <w:lang w:eastAsia="zh-CN"/>
        </w:rPr>
        <w:t>（</w:t>
      </w:r>
      <w:r>
        <w:rPr>
          <w:rFonts w:hint="eastAsia" w:eastAsia="仿宋" w:cs="Times New Roman"/>
          <w:color w:val="000000"/>
          <w:szCs w:val="32"/>
        </w:rPr>
        <w:t>参见附件3</w:t>
      </w:r>
      <w:r>
        <w:rPr>
          <w:rFonts w:hint="eastAsia" w:eastAsia="仿宋" w:cs="Times New Roman"/>
          <w:color w:val="000000"/>
          <w:szCs w:val="32"/>
          <w:lang w:eastAsia="zh-CN"/>
        </w:rPr>
        <w:t>）</w:t>
      </w:r>
      <w:r>
        <w:rPr>
          <w:rFonts w:eastAsia="仿宋" w:cs="Times New Roman"/>
          <w:color w:val="000000"/>
          <w:szCs w:val="32"/>
        </w:rPr>
        <w:t>。结合</w:t>
      </w:r>
      <w:r>
        <w:rPr>
          <w:rFonts w:hint="eastAsia" w:eastAsia="仿宋" w:cs="Times New Roman"/>
          <w:color w:val="000000"/>
          <w:szCs w:val="32"/>
        </w:rPr>
        <w:t>各</w:t>
      </w:r>
      <w:r>
        <w:rPr>
          <w:rFonts w:eastAsia="仿宋" w:cs="Times New Roman"/>
          <w:color w:val="000000"/>
          <w:szCs w:val="32"/>
        </w:rPr>
        <w:t>要素的馆藏、留存、传承、修复等实际情况，逐项总结其记录保存现状，具体</w:t>
      </w:r>
      <w:r>
        <w:rPr>
          <w:rFonts w:hint="eastAsia" w:eastAsia="仿宋" w:cs="Times New Roman"/>
          <w:color w:val="000000"/>
          <w:szCs w:val="32"/>
        </w:rPr>
        <w:t>情况</w:t>
      </w:r>
      <w:r>
        <w:rPr>
          <w:rFonts w:eastAsia="仿宋" w:cs="Times New Roman"/>
          <w:color w:val="000000"/>
          <w:szCs w:val="32"/>
        </w:rPr>
        <w:t>如下：</w:t>
      </w:r>
    </w:p>
    <w:p>
      <w:pPr>
        <w:pStyle w:val="21"/>
        <w:spacing w:after="0"/>
        <w:ind w:firstLine="644" w:firstLineChars="200"/>
        <w:rPr>
          <w:rFonts w:hint="eastAsia" w:ascii="仿宋" w:hAnsi="仿宋" w:eastAsia="仿宋"/>
          <w:color w:val="auto"/>
        </w:rPr>
      </w:pPr>
      <w:r>
        <w:rPr>
          <w:rFonts w:ascii="仿宋" w:hAnsi="仿宋" w:eastAsia="仿宋"/>
          <w:color w:val="auto"/>
        </w:rPr>
        <w:t>1</w:t>
      </w:r>
      <w:r>
        <w:rPr>
          <w:rFonts w:hint="eastAsia" w:ascii="仿宋" w:hAnsi="仿宋" w:eastAsia="仿宋"/>
          <w:color w:val="auto"/>
        </w:rPr>
        <w:t>.</w:t>
      </w:r>
      <w:r>
        <w:rPr>
          <w:rFonts w:ascii="仿宋" w:hAnsi="仿宋" w:eastAsia="仿宋"/>
          <w:color w:val="auto"/>
        </w:rPr>
        <w:t>农业物种</w:t>
      </w:r>
    </w:p>
    <w:p>
      <w:pPr>
        <w:ind w:firstLine="686"/>
        <w:rPr>
          <w:rFonts w:eastAsia="仿宋" w:cs="Times New Roman"/>
          <w:bCs/>
          <w:szCs w:val="32"/>
        </w:rPr>
      </w:pPr>
      <w:r>
        <w:rPr>
          <w:rFonts w:hint="eastAsia" w:eastAsia="仿宋" w:cs="Times New Roman"/>
          <w:bCs/>
          <w:szCs w:val="32"/>
        </w:rPr>
        <w:t>莎车巴旦</w:t>
      </w:r>
      <w:r>
        <w:rPr>
          <w:rFonts w:hint="eastAsia" w:eastAsia="仿宋" w:cs="Times New Roman"/>
          <w:bCs/>
          <w:szCs w:val="32"/>
          <w:lang w:eastAsia="zh-CN"/>
        </w:rPr>
        <w:t>姆</w:t>
      </w:r>
      <w:r>
        <w:rPr>
          <w:rFonts w:hint="eastAsia" w:eastAsia="仿宋" w:cs="Times New Roman"/>
          <w:bCs/>
          <w:szCs w:val="32"/>
        </w:rPr>
        <w:t>栽培系统的关键农业物种是巴旦</w:t>
      </w:r>
      <w:r>
        <w:rPr>
          <w:rFonts w:hint="eastAsia" w:eastAsia="仿宋" w:cs="Times New Roman"/>
          <w:bCs/>
          <w:szCs w:val="32"/>
          <w:lang w:eastAsia="zh-CN"/>
        </w:rPr>
        <w:t>姆</w:t>
      </w:r>
      <w:r>
        <w:rPr>
          <w:rFonts w:hint="eastAsia" w:eastAsia="仿宋" w:cs="Times New Roman"/>
          <w:bCs/>
          <w:szCs w:val="32"/>
        </w:rPr>
        <w:t>。莎车县共有83种巴旦</w:t>
      </w:r>
      <w:r>
        <w:rPr>
          <w:rFonts w:hint="eastAsia" w:eastAsia="仿宋" w:cs="Times New Roman"/>
          <w:bCs/>
          <w:szCs w:val="32"/>
          <w:lang w:eastAsia="zh-CN"/>
        </w:rPr>
        <w:t>姆</w:t>
      </w:r>
      <w:r>
        <w:rPr>
          <w:rFonts w:hint="eastAsia" w:eastAsia="仿宋" w:cs="Times New Roman"/>
          <w:bCs/>
          <w:szCs w:val="32"/>
        </w:rPr>
        <w:t>品种，其中国外引进品种12个，本地选育品种71个。作为</w:t>
      </w:r>
      <w:r>
        <w:rPr>
          <w:rFonts w:eastAsia="仿宋" w:cs="Times New Roman"/>
          <w:bCs/>
          <w:szCs w:val="32"/>
        </w:rPr>
        <w:t>重点保护</w:t>
      </w:r>
      <w:r>
        <w:rPr>
          <w:rFonts w:hint="eastAsia" w:eastAsia="仿宋" w:cs="Times New Roman"/>
          <w:bCs/>
          <w:szCs w:val="32"/>
        </w:rPr>
        <w:t>品种包括：</w:t>
      </w:r>
      <w:r>
        <w:rPr>
          <w:rFonts w:eastAsia="仿宋" w:cs="Times New Roman"/>
          <w:bCs/>
          <w:szCs w:val="32"/>
        </w:rPr>
        <w:t>纸皮（莎车-1）、双软（莎车-9）、矮丰（莎车-11）、双果（莎车-12）、叶尔羌（莎车-14）、晚丰（莎车-18）、小双（莎车-10）、小桃巴旦（莎车-32）、圆软（莎车-34）、寒丰（莎车-17）、阿曼尼（莎车-4）、双薄（莎车-5）、大巴旦</w:t>
      </w:r>
      <w:r>
        <w:rPr>
          <w:rFonts w:hint="eastAsia" w:eastAsia="仿宋" w:cs="Times New Roman"/>
          <w:bCs/>
          <w:szCs w:val="32"/>
          <w:lang w:eastAsia="zh-CN"/>
        </w:rPr>
        <w:t>姆</w:t>
      </w:r>
      <w:r>
        <w:rPr>
          <w:rFonts w:eastAsia="仿宋" w:cs="Times New Roman"/>
          <w:bCs/>
          <w:szCs w:val="32"/>
        </w:rPr>
        <w:t>（莎车-3）等莎车本地71个传统巴旦</w:t>
      </w:r>
      <w:r>
        <w:rPr>
          <w:rFonts w:hint="eastAsia" w:eastAsia="仿宋" w:cs="Times New Roman"/>
          <w:bCs/>
          <w:szCs w:val="32"/>
          <w:lang w:eastAsia="zh-CN"/>
        </w:rPr>
        <w:t>姆</w:t>
      </w:r>
      <w:r>
        <w:rPr>
          <w:rFonts w:hint="eastAsia" w:eastAsia="仿宋" w:cs="Times New Roman"/>
          <w:bCs/>
          <w:szCs w:val="32"/>
        </w:rPr>
        <w:t>本地种质资源保存在莎车</w:t>
      </w:r>
      <w:r>
        <w:rPr>
          <w:rFonts w:hint="eastAsia" w:eastAsia="仿宋" w:cs="Times New Roman"/>
          <w:bCs/>
          <w:szCs w:val="32"/>
          <w:lang w:val="en-US" w:eastAsia="zh-CN"/>
        </w:rPr>
        <w:t>县国有</w:t>
      </w:r>
      <w:r>
        <w:rPr>
          <w:rFonts w:hint="eastAsia" w:eastAsia="仿宋" w:cs="Times New Roman"/>
          <w:bCs/>
          <w:szCs w:val="32"/>
        </w:rPr>
        <w:t>二林场，形成了巴旦</w:t>
      </w:r>
      <w:r>
        <w:rPr>
          <w:rFonts w:hint="eastAsia" w:eastAsia="仿宋" w:cs="Times New Roman"/>
          <w:bCs/>
          <w:szCs w:val="32"/>
          <w:lang w:eastAsia="zh-CN"/>
        </w:rPr>
        <w:t>姆</w:t>
      </w:r>
      <w:r>
        <w:rPr>
          <w:rFonts w:hint="eastAsia" w:eastAsia="仿宋" w:cs="Times New Roman"/>
          <w:bCs/>
          <w:szCs w:val="32"/>
        </w:rPr>
        <w:t>种质资源库，并有相关照片留存</w:t>
      </w:r>
      <w:r>
        <w:rPr>
          <w:rFonts w:eastAsia="仿宋" w:cs="Times New Roman"/>
          <w:bCs/>
          <w:szCs w:val="32"/>
        </w:rPr>
        <w:t>。</w:t>
      </w:r>
    </w:p>
    <w:p>
      <w:pPr>
        <w:pStyle w:val="21"/>
        <w:spacing w:after="0"/>
        <w:ind w:firstLine="644" w:firstLineChars="200"/>
        <w:rPr>
          <w:rFonts w:hint="eastAsia" w:ascii="仿宋" w:hAnsi="仿宋" w:eastAsia="仿宋"/>
          <w:color w:val="auto"/>
        </w:rPr>
      </w:pPr>
      <w:r>
        <w:rPr>
          <w:rFonts w:ascii="仿宋" w:hAnsi="仿宋" w:eastAsia="仿宋"/>
          <w:color w:val="auto"/>
        </w:rPr>
        <w:t>2</w:t>
      </w:r>
      <w:r>
        <w:rPr>
          <w:rFonts w:hint="eastAsia" w:ascii="仿宋" w:hAnsi="仿宋" w:eastAsia="仿宋"/>
          <w:color w:val="auto"/>
        </w:rPr>
        <w:t>.传</w:t>
      </w:r>
      <w:r>
        <w:rPr>
          <w:rFonts w:hint="eastAsia" w:ascii="仿宋" w:hAnsi="仿宋" w:eastAsia="仿宋"/>
          <w:color w:val="000000" w:themeColor="text1"/>
        </w:rPr>
        <w:t>统知识体系</w:t>
      </w:r>
      <w:r>
        <w:rPr>
          <w:rFonts w:hint="eastAsia" w:ascii="仿宋" w:hAnsi="仿宋" w:eastAsia="仿宋"/>
          <w:color w:val="auto"/>
        </w:rPr>
        <w:t>与农耕技艺</w:t>
      </w:r>
    </w:p>
    <w:p>
      <w:pPr>
        <w:ind w:firstLine="686"/>
        <w:rPr>
          <w:rFonts w:eastAsia="仿宋" w:cs="Times New Roman"/>
          <w:bCs/>
          <w:szCs w:val="32"/>
        </w:rPr>
      </w:pPr>
      <w:r>
        <w:rPr>
          <w:rFonts w:hint="eastAsia" w:eastAsia="仿宋" w:cs="Times New Roman"/>
          <w:bCs/>
          <w:szCs w:val="32"/>
        </w:rPr>
        <w:t>适应干旱气候特点的</w:t>
      </w:r>
      <w:r>
        <w:rPr>
          <w:rFonts w:eastAsia="仿宋" w:cs="Times New Roman"/>
          <w:bCs/>
          <w:szCs w:val="32"/>
        </w:rPr>
        <w:t>生态种植管理技术</w:t>
      </w:r>
      <w:r>
        <w:rPr>
          <w:rFonts w:hint="eastAsia" w:eastAsia="仿宋" w:cs="Times New Roman"/>
          <w:bCs/>
          <w:szCs w:val="32"/>
        </w:rPr>
        <w:t>体系：</w:t>
      </w:r>
      <w:r>
        <w:rPr>
          <w:rFonts w:eastAsia="仿宋" w:cs="Times New Roman"/>
          <w:bCs/>
          <w:szCs w:val="32"/>
        </w:rPr>
        <w:t>育苗嫁接技术、林下种养技术、防止冻害传统技术、“四水四肥”水肥管理技术、多品种混栽与林下养蜂授粉技术、树冠修剪技术、生态防治病虫害技术</w:t>
      </w:r>
      <w:r>
        <w:rPr>
          <w:rFonts w:hint="eastAsia" w:eastAsia="仿宋" w:cs="Times New Roman"/>
          <w:bCs/>
          <w:szCs w:val="32"/>
        </w:rPr>
        <w:t>等。至今仍在莎车县巴旦</w:t>
      </w:r>
      <w:r>
        <w:rPr>
          <w:rFonts w:hint="eastAsia" w:eastAsia="仿宋" w:cs="Times New Roman"/>
          <w:bCs/>
          <w:szCs w:val="32"/>
          <w:lang w:eastAsia="zh-CN"/>
        </w:rPr>
        <w:t>姆</w:t>
      </w:r>
      <w:r>
        <w:rPr>
          <w:rFonts w:hint="eastAsia" w:eastAsia="仿宋" w:cs="Times New Roman"/>
          <w:bCs/>
          <w:szCs w:val="32"/>
        </w:rPr>
        <w:t>栽培系统分布区域延续使用，是当地水土资源管理、应对极端气候影响、防治病虫害等农耕智慧，有相关照片留存。</w:t>
      </w:r>
    </w:p>
    <w:p>
      <w:pPr>
        <w:ind w:firstLine="686"/>
        <w:rPr>
          <w:rFonts w:eastAsia="仿宋" w:cs="Times New Roman"/>
          <w:bCs/>
          <w:szCs w:val="32"/>
          <w:highlight w:val="none"/>
        </w:rPr>
      </w:pPr>
      <w:r>
        <w:rPr>
          <w:rFonts w:hint="eastAsia" w:eastAsia="仿宋" w:cs="Times New Roman"/>
          <w:bCs/>
          <w:szCs w:val="32"/>
        </w:rPr>
        <w:t>传统耕作整地工具：坎土曼、</w:t>
      </w:r>
      <w:r>
        <w:rPr>
          <w:rFonts w:hint="eastAsia" w:eastAsia="仿宋" w:cs="Times New Roman"/>
          <w:bCs/>
          <w:szCs w:val="32"/>
          <w:lang w:val="en-US" w:eastAsia="zh-CN"/>
        </w:rPr>
        <w:t>木</w:t>
      </w:r>
      <w:r>
        <w:rPr>
          <w:rFonts w:hint="eastAsia" w:eastAsia="仿宋" w:cs="Times New Roman"/>
          <w:bCs/>
          <w:szCs w:val="32"/>
        </w:rPr>
        <w:t>犁、耙、铁锹等</w:t>
      </w:r>
      <w:r>
        <w:rPr>
          <w:rFonts w:eastAsia="仿宋" w:cs="Times New Roman"/>
          <w:bCs/>
          <w:szCs w:val="32"/>
        </w:rPr>
        <w:t>用于挖土、翻地、平</w:t>
      </w:r>
      <w:r>
        <w:rPr>
          <w:rFonts w:hint="eastAsia" w:eastAsia="仿宋" w:cs="Times New Roman"/>
          <w:bCs/>
          <w:szCs w:val="32"/>
          <w:lang w:val="en-US" w:eastAsia="zh-CN"/>
        </w:rPr>
        <w:t>整</w:t>
      </w:r>
      <w:r>
        <w:rPr>
          <w:rFonts w:eastAsia="仿宋" w:cs="Times New Roman"/>
          <w:bCs/>
          <w:szCs w:val="32"/>
        </w:rPr>
        <w:t>等</w:t>
      </w:r>
      <w:r>
        <w:rPr>
          <w:rFonts w:hint="eastAsia" w:eastAsia="仿宋" w:cs="Times New Roman"/>
          <w:bCs/>
          <w:szCs w:val="32"/>
        </w:rPr>
        <w:t>。馆藏于</w:t>
      </w:r>
      <w:r>
        <w:rPr>
          <w:rFonts w:hint="eastAsia" w:eastAsia="仿宋" w:cs="Times New Roman"/>
          <w:bCs/>
          <w:szCs w:val="32"/>
          <w:highlight w:val="none"/>
        </w:rPr>
        <w:t>阿热恰吐克村史馆、巴依都维村村史馆妥善收藏，有相关照片留存。</w:t>
      </w:r>
    </w:p>
    <w:p>
      <w:pPr>
        <w:ind w:firstLine="686"/>
        <w:rPr>
          <w:rFonts w:eastAsia="仿宋" w:cs="Times New Roman"/>
          <w:bCs/>
          <w:szCs w:val="32"/>
          <w:highlight w:val="none"/>
        </w:rPr>
      </w:pPr>
      <w:r>
        <w:rPr>
          <w:rFonts w:hint="eastAsia" w:eastAsia="仿宋" w:cs="Times New Roman"/>
          <w:bCs/>
          <w:szCs w:val="32"/>
          <w:highlight w:val="none"/>
        </w:rPr>
        <w:t>传统施肥与播种工具：如</w:t>
      </w:r>
      <w:r>
        <w:rPr>
          <w:rFonts w:hint="eastAsia" w:eastAsia="仿宋" w:cs="Times New Roman"/>
          <w:bCs/>
          <w:szCs w:val="32"/>
          <w:highlight w:val="none"/>
          <w:lang w:val="en-US" w:eastAsia="zh-CN"/>
        </w:rPr>
        <w:t>木</w:t>
      </w:r>
      <w:r>
        <w:rPr>
          <w:rFonts w:hint="eastAsia" w:eastAsia="仿宋" w:cs="Times New Roman"/>
          <w:bCs/>
          <w:szCs w:val="32"/>
          <w:highlight w:val="none"/>
        </w:rPr>
        <w:t>制点播器、柳条筐、葫芦瓢等，用于人工点种、挑运农家肥和小麦播种。馆藏于阿热恰吐克村史馆、巴依都维村村史馆妥善收藏，有相关照片留存。</w:t>
      </w:r>
    </w:p>
    <w:p>
      <w:pPr>
        <w:ind w:firstLine="686"/>
        <w:rPr>
          <w:rFonts w:eastAsia="仿宋" w:cs="Times New Roman"/>
          <w:bCs/>
          <w:szCs w:val="32"/>
          <w:highlight w:val="none"/>
        </w:rPr>
      </w:pPr>
      <w:r>
        <w:rPr>
          <w:rFonts w:hint="eastAsia" w:eastAsia="仿宋" w:cs="Times New Roman"/>
          <w:bCs/>
          <w:szCs w:val="32"/>
          <w:highlight w:val="none"/>
        </w:rPr>
        <w:t>传统挖渠工具：砍砍（类似十字镐），用于开挖和疏通田间的小型毛渠。馆藏于阿热恰吐克村史馆、巴依都维村村史馆妥善收藏，有相关照片留存。</w:t>
      </w:r>
    </w:p>
    <w:p>
      <w:pPr>
        <w:ind w:firstLine="686"/>
        <w:rPr>
          <w:rFonts w:eastAsia="仿宋" w:cs="Times New Roman"/>
          <w:bCs/>
          <w:szCs w:val="32"/>
        </w:rPr>
      </w:pPr>
      <w:r>
        <w:rPr>
          <w:rFonts w:hint="eastAsia" w:eastAsia="仿宋" w:cs="Times New Roman"/>
          <w:bCs/>
          <w:szCs w:val="32"/>
          <w:highlight w:val="none"/>
        </w:rPr>
        <w:t>传统采收运输工具：柳编筐、麻袋、驴车、手推独轮车等，用于人工采摘、收集和运输果实等。馆藏于阿热恰吐克村史馆、巴依都维村村史馆</w:t>
      </w:r>
      <w:r>
        <w:rPr>
          <w:rFonts w:eastAsia="仿宋" w:cs="Times New Roman"/>
          <w:bCs/>
          <w:szCs w:val="32"/>
          <w:highlight w:val="none"/>
        </w:rPr>
        <w:t>妥善收藏</w:t>
      </w:r>
      <w:r>
        <w:rPr>
          <w:rFonts w:hint="eastAsia" w:eastAsia="仿宋" w:cs="Times New Roman"/>
          <w:bCs/>
          <w:szCs w:val="32"/>
          <w:highlight w:val="none"/>
        </w:rPr>
        <w:t>，有相关照片留存。</w:t>
      </w:r>
    </w:p>
    <w:p>
      <w:pPr>
        <w:pStyle w:val="21"/>
        <w:spacing w:after="0"/>
        <w:ind w:firstLine="644" w:firstLineChars="200"/>
        <w:rPr>
          <w:rFonts w:hint="eastAsia" w:ascii="仿宋" w:hAnsi="仿宋" w:eastAsia="仿宋"/>
          <w:color w:val="auto"/>
        </w:rPr>
      </w:pPr>
      <w:r>
        <w:rPr>
          <w:rFonts w:ascii="仿宋" w:hAnsi="仿宋" w:eastAsia="仿宋"/>
          <w:color w:val="auto"/>
        </w:rPr>
        <w:t>3</w:t>
      </w:r>
      <w:r>
        <w:rPr>
          <w:rFonts w:hint="eastAsia" w:ascii="仿宋" w:hAnsi="仿宋" w:eastAsia="仿宋"/>
          <w:color w:val="auto"/>
        </w:rPr>
        <w:t>.历史文献</w:t>
      </w:r>
    </w:p>
    <w:p>
      <w:pPr>
        <w:ind w:firstLine="686"/>
        <w:rPr>
          <w:rFonts w:eastAsia="仿宋" w:cs="Times New Roman"/>
          <w:bCs/>
          <w:szCs w:val="32"/>
        </w:rPr>
      </w:pPr>
      <w:r>
        <w:rPr>
          <w:rFonts w:hint="eastAsia" w:eastAsia="仿宋" w:cs="Times New Roman"/>
          <w:bCs/>
          <w:szCs w:val="32"/>
        </w:rPr>
        <w:t>清宣统《莎车府志》：存放于莎车县史志办公室，有相关照片留存，无其它特殊认定相关保存要求。</w:t>
      </w:r>
    </w:p>
    <w:p>
      <w:pPr>
        <w:ind w:firstLine="686"/>
        <w:rPr>
          <w:rFonts w:eastAsia="仿宋" w:cs="Times New Roman"/>
          <w:bCs/>
          <w:szCs w:val="32"/>
        </w:rPr>
      </w:pPr>
      <w:r>
        <w:rPr>
          <w:rFonts w:hint="eastAsia" w:eastAsia="仿宋" w:cs="Times New Roman"/>
          <w:bCs/>
          <w:szCs w:val="32"/>
        </w:rPr>
        <w:t>清光绪《新疆乡土志第二十九种》：存放于莎车县史志办公室，有相关照片留存，无其它特殊认定相关保存要求。</w:t>
      </w:r>
    </w:p>
    <w:p>
      <w:pPr>
        <w:pStyle w:val="21"/>
        <w:spacing w:after="0"/>
        <w:ind w:firstLine="644" w:firstLineChars="200"/>
        <w:rPr>
          <w:rFonts w:hint="eastAsia" w:ascii="仿宋" w:hAnsi="仿宋" w:eastAsia="仿宋"/>
          <w:color w:val="auto"/>
        </w:rPr>
      </w:pPr>
      <w:r>
        <w:rPr>
          <w:rFonts w:hint="eastAsia" w:ascii="仿宋" w:hAnsi="仿宋" w:eastAsia="仿宋"/>
          <w:color w:val="auto"/>
        </w:rPr>
        <w:t>4.</w:t>
      </w:r>
      <w:r>
        <w:rPr>
          <w:rFonts w:ascii="仿宋" w:hAnsi="仿宋" w:eastAsia="仿宋"/>
          <w:color w:val="auto"/>
        </w:rPr>
        <w:t>农业景观</w:t>
      </w:r>
    </w:p>
    <w:p>
      <w:pPr>
        <w:ind w:firstLine="686"/>
        <w:rPr>
          <w:rFonts w:eastAsia="仿宋" w:cs="Times New Roman"/>
          <w:bCs/>
          <w:szCs w:val="32"/>
        </w:rPr>
      </w:pPr>
      <w:r>
        <w:rPr>
          <w:rFonts w:hint="eastAsia" w:eastAsia="仿宋" w:cs="Times New Roman"/>
          <w:bCs/>
          <w:szCs w:val="32"/>
        </w:rPr>
        <w:t>复合</w:t>
      </w:r>
      <w:r>
        <w:rPr>
          <w:rFonts w:eastAsia="仿宋" w:cs="Times New Roman"/>
          <w:bCs/>
          <w:szCs w:val="32"/>
        </w:rPr>
        <w:t>生态农业景观</w:t>
      </w:r>
      <w:r>
        <w:rPr>
          <w:rFonts w:hint="eastAsia" w:eastAsia="仿宋" w:cs="Times New Roman"/>
          <w:bCs/>
          <w:szCs w:val="32"/>
        </w:rPr>
        <w:t>：巴旦</w:t>
      </w:r>
      <w:r>
        <w:rPr>
          <w:rFonts w:hint="eastAsia" w:eastAsia="仿宋" w:cs="Times New Roman"/>
          <w:bCs/>
          <w:szCs w:val="32"/>
          <w:lang w:eastAsia="zh-CN"/>
        </w:rPr>
        <w:t>姆</w:t>
      </w:r>
      <w:r>
        <w:rPr>
          <w:rFonts w:eastAsia="仿宋" w:cs="Times New Roman"/>
          <w:bCs/>
          <w:szCs w:val="32"/>
        </w:rPr>
        <w:t>林下种小麦等林-粮间作</w:t>
      </w:r>
      <w:r>
        <w:rPr>
          <w:rFonts w:hint="eastAsia" w:eastAsia="仿宋" w:cs="Times New Roman"/>
          <w:bCs/>
          <w:szCs w:val="32"/>
        </w:rPr>
        <w:t>，</w:t>
      </w:r>
      <w:r>
        <w:rPr>
          <w:rFonts w:eastAsia="仿宋" w:cs="Times New Roman"/>
          <w:bCs/>
          <w:szCs w:val="32"/>
        </w:rPr>
        <w:t>林下种万寿菊等林-经济作物间作景观，林下种蔬菜等林-菜间作</w:t>
      </w:r>
      <w:r>
        <w:rPr>
          <w:rFonts w:hint="eastAsia" w:eastAsia="仿宋" w:cs="Times New Roman"/>
          <w:bCs/>
          <w:szCs w:val="32"/>
        </w:rPr>
        <w:t>等。该景观展现了当地人民在风沙天气频繁、气候干旱、光照强烈等环境下，探索出的有效利用水土资源的复合农业结构。目前，五个核心村均有维护较</w:t>
      </w:r>
      <w:r>
        <w:rPr>
          <w:rFonts w:hint="eastAsia" w:eastAsia="仿宋" w:cs="Times New Roman"/>
          <w:bCs/>
          <w:szCs w:val="32"/>
          <w:lang w:eastAsia="zh-CN"/>
        </w:rPr>
        <w:t>好</w:t>
      </w:r>
      <w:r>
        <w:rPr>
          <w:rFonts w:hint="eastAsia" w:eastAsia="仿宋" w:cs="Times New Roman"/>
          <w:bCs/>
          <w:szCs w:val="32"/>
        </w:rPr>
        <w:t>的该类典型农业景观，并有大量照片留存。</w:t>
      </w:r>
    </w:p>
    <w:p>
      <w:pPr>
        <w:ind w:firstLine="686"/>
        <w:rPr>
          <w:rFonts w:eastAsia="仿宋" w:cs="Times New Roman"/>
          <w:bCs/>
          <w:szCs w:val="32"/>
        </w:rPr>
      </w:pPr>
      <w:r>
        <w:rPr>
          <w:rFonts w:hint="eastAsia" w:eastAsia="仿宋" w:cs="Times New Roman"/>
          <w:bCs/>
          <w:szCs w:val="32"/>
        </w:rPr>
        <w:t>巴旦</w:t>
      </w:r>
      <w:r>
        <w:rPr>
          <w:rFonts w:hint="eastAsia" w:eastAsia="仿宋" w:cs="Times New Roman"/>
          <w:bCs/>
          <w:szCs w:val="32"/>
          <w:lang w:eastAsia="zh-CN"/>
        </w:rPr>
        <w:t>姆</w:t>
      </w:r>
      <w:r>
        <w:rPr>
          <w:rFonts w:hint="eastAsia" w:eastAsia="仿宋" w:cs="Times New Roman"/>
          <w:bCs/>
          <w:szCs w:val="32"/>
        </w:rPr>
        <w:t>花海景观：每年三月份，不同品种、不同树形的巴旦</w:t>
      </w:r>
      <w:r>
        <w:rPr>
          <w:rFonts w:hint="eastAsia" w:eastAsia="仿宋" w:cs="Times New Roman"/>
          <w:bCs/>
          <w:szCs w:val="32"/>
          <w:lang w:eastAsia="zh-CN"/>
        </w:rPr>
        <w:t>姆</w:t>
      </w:r>
      <w:r>
        <w:rPr>
          <w:rFonts w:hint="eastAsia" w:eastAsia="仿宋" w:cs="Times New Roman"/>
          <w:bCs/>
          <w:szCs w:val="32"/>
        </w:rPr>
        <w:t>树绽放出</w:t>
      </w:r>
      <w:r>
        <w:rPr>
          <w:rFonts w:hint="eastAsia" w:eastAsia="仿宋" w:cs="Times New Roman"/>
          <w:bCs/>
          <w:szCs w:val="32"/>
          <w:lang w:val="en-US" w:eastAsia="zh-CN"/>
        </w:rPr>
        <w:t>白色、粉</w:t>
      </w:r>
      <w:r>
        <w:rPr>
          <w:rFonts w:hint="eastAsia" w:eastAsia="仿宋" w:cs="Times New Roman"/>
          <w:bCs/>
          <w:szCs w:val="32"/>
        </w:rPr>
        <w:t>色的花朵，翠绿的叶片、碧绿的麦田相映成趣，构成了一道极具地方特色的风景线。景观核心位于</w:t>
      </w:r>
      <w:r>
        <w:rPr>
          <w:rFonts w:eastAsia="仿宋" w:cs="Times New Roman"/>
          <w:bCs/>
          <w:szCs w:val="32"/>
        </w:rPr>
        <w:t>阿热勒乡</w:t>
      </w:r>
      <w:r>
        <w:rPr>
          <w:rFonts w:hint="eastAsia" w:eastAsia="仿宋" w:cs="Times New Roman"/>
          <w:bCs/>
          <w:szCs w:val="32"/>
        </w:rPr>
        <w:t>，融合农业与旅游产业，打造乡村旅游新业态，景观本体完整保存并活化利用，有大量照片留存。</w:t>
      </w:r>
    </w:p>
    <w:p>
      <w:pPr>
        <w:ind w:firstLine="686"/>
        <w:rPr>
          <w:rFonts w:eastAsia="仿宋" w:cs="Times New Roman"/>
          <w:bCs/>
          <w:szCs w:val="32"/>
        </w:rPr>
      </w:pPr>
      <w:r>
        <w:rPr>
          <w:rFonts w:hint="eastAsia" w:eastAsia="仿宋" w:cs="Times New Roman"/>
          <w:bCs/>
          <w:szCs w:val="32"/>
        </w:rPr>
        <w:t>巴旦</w:t>
      </w:r>
      <w:r>
        <w:rPr>
          <w:rFonts w:hint="eastAsia" w:eastAsia="仿宋" w:cs="Times New Roman"/>
          <w:bCs/>
          <w:szCs w:val="32"/>
          <w:lang w:eastAsia="zh-CN"/>
        </w:rPr>
        <w:t>姆</w:t>
      </w:r>
      <w:r>
        <w:rPr>
          <w:rFonts w:eastAsia="仿宋" w:cs="Times New Roman"/>
          <w:bCs/>
          <w:szCs w:val="32"/>
        </w:rPr>
        <w:t>古树群</w:t>
      </w:r>
      <w:r>
        <w:rPr>
          <w:rFonts w:hint="eastAsia" w:eastAsia="仿宋" w:cs="Times New Roman"/>
          <w:bCs/>
          <w:szCs w:val="32"/>
        </w:rPr>
        <w:t>：树龄在40-70年，50年以上的古树441棵，目前仍然</w:t>
      </w:r>
      <w:r>
        <w:rPr>
          <w:rFonts w:hint="eastAsia" w:eastAsia="仿宋" w:cs="Times New Roman"/>
          <w:bCs/>
          <w:szCs w:val="32"/>
          <w:lang w:val="en-US" w:eastAsia="zh-CN"/>
        </w:rPr>
        <w:t>在挂</w:t>
      </w:r>
      <w:r>
        <w:rPr>
          <w:rFonts w:hint="eastAsia" w:eastAsia="仿宋" w:cs="Times New Roman"/>
          <w:bCs/>
          <w:szCs w:val="32"/>
        </w:rPr>
        <w:t>果，远高于其经济年龄40年，记录了中国巴旦</w:t>
      </w:r>
      <w:r>
        <w:rPr>
          <w:rFonts w:hint="eastAsia" w:eastAsia="仿宋" w:cs="Times New Roman"/>
          <w:bCs/>
          <w:szCs w:val="32"/>
          <w:lang w:eastAsia="zh-CN"/>
        </w:rPr>
        <w:t>姆</w:t>
      </w:r>
      <w:r>
        <w:rPr>
          <w:rFonts w:hint="eastAsia" w:eastAsia="仿宋" w:cs="Times New Roman"/>
          <w:bCs/>
          <w:szCs w:val="32"/>
        </w:rPr>
        <w:t>育种技术和栽培技术发展轨迹，也表明了农民的精耕细作、科学管理的水平，这类景观主要分布在国有</w:t>
      </w:r>
      <w:r>
        <w:rPr>
          <w:rFonts w:eastAsia="仿宋" w:cs="Times New Roman"/>
          <w:bCs/>
          <w:szCs w:val="32"/>
        </w:rPr>
        <w:t>二林场</w:t>
      </w:r>
      <w:r>
        <w:rPr>
          <w:rFonts w:hint="eastAsia" w:eastAsia="仿宋" w:cs="Times New Roman"/>
          <w:bCs/>
          <w:szCs w:val="32"/>
        </w:rPr>
        <w:t>，并有大量照片留存。</w:t>
      </w:r>
    </w:p>
    <w:p>
      <w:pPr>
        <w:ind w:firstLine="686"/>
        <w:rPr>
          <w:rFonts w:eastAsia="仿宋" w:cs="Times New Roman"/>
          <w:bCs/>
          <w:szCs w:val="32"/>
        </w:rPr>
      </w:pPr>
      <w:r>
        <w:rPr>
          <w:rFonts w:hint="eastAsia" w:eastAsia="仿宋" w:cs="Times New Roman"/>
          <w:bCs/>
          <w:szCs w:val="32"/>
        </w:rPr>
        <w:t>莎车县老城民俗文化景观：莎车老城景区活态保存着以阿曼尼沙汗纪念陵、喀赞其老街为核心的历史文化空间。阿曼尼沙汗纪念陵为纪念整理十二</w:t>
      </w:r>
      <w:r>
        <w:rPr>
          <w:rFonts w:hint="eastAsia" w:eastAsia="仿宋" w:cs="Times New Roman"/>
          <w:bCs/>
          <w:szCs w:val="32"/>
          <w:lang w:val="en-US" w:eastAsia="zh-CN"/>
        </w:rPr>
        <w:t>木</w:t>
      </w:r>
      <w:r>
        <w:rPr>
          <w:rFonts w:hint="eastAsia" w:eastAsia="仿宋" w:cs="Times New Roman"/>
          <w:bCs/>
          <w:szCs w:val="32"/>
        </w:rPr>
        <w:t>卡</w:t>
      </w:r>
      <w:r>
        <w:rPr>
          <w:rFonts w:hint="eastAsia" w:eastAsia="仿宋" w:cs="Times New Roman"/>
          <w:bCs/>
          <w:szCs w:val="32"/>
          <w:lang w:eastAsia="zh-CN"/>
        </w:rPr>
        <w:t>姆</w:t>
      </w:r>
      <w:r>
        <w:rPr>
          <w:rFonts w:hint="eastAsia" w:eastAsia="仿宋" w:cs="Times New Roman"/>
          <w:bCs/>
          <w:szCs w:val="32"/>
        </w:rPr>
        <w:t>的伟大女性而建；老城文化中心每日上演十二</w:t>
      </w:r>
      <w:r>
        <w:rPr>
          <w:rFonts w:hint="eastAsia" w:eastAsia="仿宋" w:cs="Times New Roman"/>
          <w:bCs/>
          <w:szCs w:val="32"/>
          <w:lang w:val="en-US" w:eastAsia="zh-CN"/>
        </w:rPr>
        <w:t>木</w:t>
      </w:r>
      <w:r>
        <w:rPr>
          <w:rFonts w:hint="eastAsia" w:eastAsia="仿宋" w:cs="Times New Roman"/>
          <w:bCs/>
          <w:szCs w:val="32"/>
        </w:rPr>
        <w:t>卡</w:t>
      </w:r>
      <w:r>
        <w:rPr>
          <w:rFonts w:hint="eastAsia" w:eastAsia="仿宋" w:cs="Times New Roman"/>
          <w:bCs/>
          <w:szCs w:val="32"/>
          <w:lang w:eastAsia="zh-CN"/>
        </w:rPr>
        <w:t>姆</w:t>
      </w:r>
      <w:r>
        <w:rPr>
          <w:rFonts w:hint="eastAsia" w:eastAsia="仿宋" w:cs="Times New Roman"/>
          <w:bCs/>
          <w:szCs w:val="32"/>
        </w:rPr>
        <w:t>专场演出，民间艺人弹唱激昂乐章。喀赞其老街意为“铸造铁锅的地方”，形成于清晚期，700余米街巷两侧散布着大量古建筑民居和特色巷道，巴旦</w:t>
      </w:r>
      <w:r>
        <w:rPr>
          <w:rFonts w:hint="eastAsia" w:eastAsia="仿宋" w:cs="Times New Roman"/>
          <w:bCs/>
          <w:szCs w:val="32"/>
          <w:lang w:eastAsia="zh-CN"/>
        </w:rPr>
        <w:t>姆</w:t>
      </w:r>
      <w:r>
        <w:rPr>
          <w:rFonts w:hint="eastAsia" w:eastAsia="仿宋" w:cs="Times New Roman"/>
          <w:bCs/>
          <w:szCs w:val="32"/>
        </w:rPr>
        <w:t>纹饰随处可见。铜铁器店的敲打声、</w:t>
      </w:r>
      <w:r>
        <w:rPr>
          <w:rFonts w:hint="eastAsia" w:eastAsia="仿宋" w:cs="Times New Roman"/>
          <w:bCs/>
          <w:szCs w:val="32"/>
          <w:lang w:val="en-US" w:eastAsia="zh-CN"/>
        </w:rPr>
        <w:t>木</w:t>
      </w:r>
      <w:r>
        <w:rPr>
          <w:rFonts w:hint="eastAsia" w:eastAsia="仿宋" w:cs="Times New Roman"/>
          <w:bCs/>
          <w:szCs w:val="32"/>
        </w:rPr>
        <w:t>制炊具的刨花声，与绣制巴旦</w:t>
      </w:r>
      <w:r>
        <w:rPr>
          <w:rFonts w:hint="eastAsia" w:eastAsia="仿宋" w:cs="Times New Roman"/>
          <w:bCs/>
          <w:szCs w:val="32"/>
          <w:lang w:eastAsia="zh-CN"/>
        </w:rPr>
        <w:t>姆</w:t>
      </w:r>
      <w:r>
        <w:rPr>
          <w:rFonts w:hint="eastAsia" w:eastAsia="仿宋" w:cs="Times New Roman"/>
          <w:bCs/>
          <w:szCs w:val="32"/>
        </w:rPr>
        <w:t>花帽、围巾的静谧相映成趣，生动展现巴旦</w:t>
      </w:r>
      <w:r>
        <w:rPr>
          <w:rFonts w:hint="eastAsia" w:eastAsia="仿宋" w:cs="Times New Roman"/>
          <w:bCs/>
          <w:szCs w:val="32"/>
          <w:lang w:eastAsia="zh-CN"/>
        </w:rPr>
        <w:t>姆</w:t>
      </w:r>
      <w:r>
        <w:rPr>
          <w:rFonts w:hint="eastAsia" w:eastAsia="仿宋" w:cs="Times New Roman"/>
          <w:bCs/>
          <w:szCs w:val="32"/>
        </w:rPr>
        <w:t>文化融入当地人生活的景象。目前该景观在莎车老城景区活态运作，并有大量照片留存</w:t>
      </w:r>
      <w:r>
        <w:rPr>
          <w:rFonts w:eastAsia="仿宋" w:cs="Times New Roman"/>
          <w:bCs/>
          <w:szCs w:val="32"/>
        </w:rPr>
        <w:t>。</w:t>
      </w:r>
    </w:p>
    <w:p>
      <w:pPr>
        <w:pStyle w:val="21"/>
        <w:spacing w:after="0"/>
        <w:ind w:firstLine="644" w:firstLineChars="200"/>
        <w:rPr>
          <w:rFonts w:hint="eastAsia" w:ascii="仿宋" w:hAnsi="仿宋" w:eastAsia="仿宋"/>
          <w:color w:val="auto"/>
        </w:rPr>
      </w:pPr>
      <w:r>
        <w:rPr>
          <w:rFonts w:hint="eastAsia" w:ascii="仿宋" w:hAnsi="仿宋" w:eastAsia="仿宋"/>
          <w:color w:val="auto"/>
        </w:rPr>
        <w:t>5.宅院村落</w:t>
      </w:r>
    </w:p>
    <w:p>
      <w:pPr>
        <w:ind w:firstLine="686"/>
        <w:rPr>
          <w:rFonts w:eastAsia="仿宋" w:cs="Times New Roman"/>
          <w:bCs/>
          <w:szCs w:val="32"/>
        </w:rPr>
      </w:pPr>
      <w:r>
        <w:rPr>
          <w:rFonts w:hint="eastAsia" w:eastAsia="仿宋" w:cs="Times New Roman"/>
          <w:bCs/>
          <w:szCs w:val="32"/>
        </w:rPr>
        <w:t>莎车传统维吾尔族宅院民居：莎车老城景区现存227处历史文化民居，多为清末至民国时期建造，集中分布于喀赞其、加满、满洲涝坝三个历史文化街区，构成南疆最具代表性的传统维吾尔族宅院群落。宅院采用生土材料与</w:t>
      </w:r>
      <w:r>
        <w:rPr>
          <w:rFonts w:hint="eastAsia" w:eastAsia="仿宋" w:cs="Times New Roman"/>
          <w:bCs/>
          <w:szCs w:val="32"/>
          <w:lang w:val="en-US" w:eastAsia="zh-CN"/>
        </w:rPr>
        <w:t>木</w:t>
      </w:r>
      <w:r>
        <w:rPr>
          <w:rFonts w:hint="eastAsia" w:eastAsia="仿宋" w:cs="Times New Roman"/>
          <w:bCs/>
          <w:szCs w:val="32"/>
        </w:rPr>
        <w:t>构架结合形式，以“米玛哈那”（客室）为核心布局；庭院内葡萄架遮荫，地面铺设实心炕（束盖）供户外休憩；居室前多设廊屋，立柱雕刻精细，柱顶饰莲花等纹饰；墙面悬挂壁毯，炕上铺设褥子，构成待客与家庭生活核心空间。建筑外观以土坯原色或土黄为主，门窗施以蓝、绿、白色调，彩绘巴旦</w:t>
      </w:r>
      <w:r>
        <w:rPr>
          <w:rFonts w:hint="eastAsia" w:eastAsia="仿宋" w:cs="Times New Roman"/>
          <w:bCs/>
          <w:szCs w:val="32"/>
          <w:lang w:eastAsia="zh-CN"/>
        </w:rPr>
        <w:t>姆</w:t>
      </w:r>
      <w:r>
        <w:rPr>
          <w:rFonts w:hint="eastAsia" w:eastAsia="仿宋" w:cs="Times New Roman"/>
          <w:bCs/>
          <w:szCs w:val="32"/>
        </w:rPr>
        <w:t>、花卉等纹饰。传统民居本体完整保留，一楼多作商用，古村风貌与商贸功能活态延续，并有相关照片留存。</w:t>
      </w:r>
    </w:p>
    <w:p>
      <w:pPr>
        <w:pStyle w:val="21"/>
        <w:spacing w:after="0"/>
        <w:ind w:firstLine="644" w:firstLineChars="200"/>
        <w:rPr>
          <w:rFonts w:hint="eastAsia" w:ascii="仿宋" w:hAnsi="仿宋" w:eastAsia="仿宋"/>
          <w:color w:val="auto"/>
        </w:rPr>
      </w:pPr>
      <w:r>
        <w:rPr>
          <w:rFonts w:hint="eastAsia" w:ascii="仿宋" w:hAnsi="仿宋" w:eastAsia="仿宋"/>
          <w:color w:val="auto"/>
        </w:rPr>
        <w:t>6.</w:t>
      </w:r>
      <w:r>
        <w:rPr>
          <w:rFonts w:ascii="仿宋" w:hAnsi="仿宋" w:eastAsia="仿宋"/>
          <w:color w:val="auto"/>
        </w:rPr>
        <w:t>节庆活动与乡风民俗</w:t>
      </w:r>
    </w:p>
    <w:p>
      <w:pPr>
        <w:ind w:firstLine="686"/>
        <w:rPr>
          <w:rFonts w:eastAsia="仿宋" w:cs="Times New Roman"/>
          <w:bCs/>
          <w:szCs w:val="32"/>
        </w:rPr>
      </w:pPr>
      <w:r>
        <w:rPr>
          <w:rFonts w:hint="eastAsia" w:eastAsia="仿宋" w:cs="Times New Roman"/>
          <w:bCs/>
          <w:szCs w:val="32"/>
        </w:rPr>
        <w:t>巴旦</w:t>
      </w:r>
      <w:r>
        <w:rPr>
          <w:rFonts w:hint="eastAsia" w:eastAsia="仿宋" w:cs="Times New Roman"/>
          <w:bCs/>
          <w:szCs w:val="32"/>
          <w:lang w:eastAsia="zh-CN"/>
        </w:rPr>
        <w:t>姆</w:t>
      </w:r>
      <w:r>
        <w:rPr>
          <w:rFonts w:hint="eastAsia" w:eastAsia="仿宋" w:cs="Times New Roman"/>
          <w:bCs/>
          <w:szCs w:val="32"/>
        </w:rPr>
        <w:t>相关传统歌舞：十二</w:t>
      </w:r>
      <w:r>
        <w:rPr>
          <w:rFonts w:hint="eastAsia" w:eastAsia="仿宋" w:cs="Times New Roman"/>
          <w:bCs/>
          <w:szCs w:val="32"/>
          <w:lang w:val="en-US" w:eastAsia="zh-CN"/>
        </w:rPr>
        <w:t>木</w:t>
      </w:r>
      <w:r>
        <w:rPr>
          <w:rFonts w:hint="eastAsia" w:eastAsia="仿宋" w:cs="Times New Roman"/>
          <w:bCs/>
          <w:szCs w:val="32"/>
        </w:rPr>
        <w:t>卡</w:t>
      </w:r>
      <w:r>
        <w:rPr>
          <w:rFonts w:hint="eastAsia" w:eastAsia="仿宋" w:cs="Times New Roman"/>
          <w:bCs/>
          <w:szCs w:val="32"/>
          <w:lang w:eastAsia="zh-CN"/>
        </w:rPr>
        <w:t>姆</w:t>
      </w:r>
      <w:r>
        <w:rPr>
          <w:rFonts w:hint="eastAsia" w:eastAsia="仿宋" w:cs="Times New Roman"/>
          <w:bCs/>
          <w:szCs w:val="32"/>
        </w:rPr>
        <w:t>，莎车县作为国家级非物质文化遗产的发源地，拥有五百余年历史的十二</w:t>
      </w:r>
      <w:r>
        <w:rPr>
          <w:rFonts w:hint="eastAsia" w:eastAsia="仿宋" w:cs="Times New Roman"/>
          <w:bCs/>
          <w:szCs w:val="32"/>
          <w:lang w:val="en-US" w:eastAsia="zh-CN"/>
        </w:rPr>
        <w:t>木</w:t>
      </w:r>
      <w:r>
        <w:rPr>
          <w:rFonts w:hint="eastAsia" w:eastAsia="仿宋" w:cs="Times New Roman"/>
          <w:bCs/>
          <w:szCs w:val="32"/>
        </w:rPr>
        <w:t>卡</w:t>
      </w:r>
      <w:r>
        <w:rPr>
          <w:rFonts w:hint="eastAsia" w:eastAsia="仿宋" w:cs="Times New Roman"/>
          <w:bCs/>
          <w:szCs w:val="32"/>
          <w:lang w:eastAsia="zh-CN"/>
        </w:rPr>
        <w:t>姆</w:t>
      </w:r>
      <w:r>
        <w:rPr>
          <w:rFonts w:hint="eastAsia" w:eastAsia="仿宋" w:cs="Times New Roman"/>
          <w:bCs/>
          <w:szCs w:val="32"/>
        </w:rPr>
        <w:t>是集歌、舞、乐于一体的大型综合艺术，其中大量歌词涉及巴旦</w:t>
      </w:r>
      <w:r>
        <w:rPr>
          <w:rFonts w:hint="eastAsia" w:eastAsia="仿宋" w:cs="Times New Roman"/>
          <w:bCs/>
          <w:szCs w:val="32"/>
          <w:lang w:eastAsia="zh-CN"/>
        </w:rPr>
        <w:t>姆</w:t>
      </w:r>
      <w:r>
        <w:rPr>
          <w:rFonts w:hint="eastAsia" w:eastAsia="仿宋" w:cs="Times New Roman"/>
          <w:bCs/>
          <w:szCs w:val="32"/>
        </w:rPr>
        <w:t>，如“巴旦</w:t>
      </w:r>
      <w:r>
        <w:rPr>
          <w:rFonts w:hint="eastAsia" w:eastAsia="仿宋" w:cs="Times New Roman"/>
          <w:bCs/>
          <w:szCs w:val="32"/>
          <w:lang w:eastAsia="zh-CN"/>
        </w:rPr>
        <w:t>姆</w:t>
      </w:r>
      <w:r>
        <w:rPr>
          <w:rFonts w:hint="eastAsia" w:eastAsia="仿宋" w:cs="Times New Roman"/>
          <w:bCs/>
          <w:szCs w:val="32"/>
        </w:rPr>
        <w:t>的小嘴原本窃自于你的樱唇”“喜欢巴旦</w:t>
      </w:r>
      <w:r>
        <w:rPr>
          <w:rFonts w:hint="eastAsia" w:eastAsia="仿宋" w:cs="Times New Roman"/>
          <w:bCs/>
          <w:szCs w:val="32"/>
          <w:lang w:eastAsia="zh-CN"/>
        </w:rPr>
        <w:t>姆</w:t>
      </w:r>
      <w:r>
        <w:rPr>
          <w:rFonts w:hint="eastAsia" w:eastAsia="仿宋" w:cs="Times New Roman"/>
          <w:bCs/>
          <w:szCs w:val="32"/>
          <w:lang w:val="en-US" w:eastAsia="zh-CN"/>
        </w:rPr>
        <w:t>干</w:t>
      </w:r>
      <w:r>
        <w:rPr>
          <w:rFonts w:hint="eastAsia" w:eastAsia="仿宋" w:cs="Times New Roman"/>
          <w:bCs/>
          <w:szCs w:val="32"/>
        </w:rPr>
        <w:t>蜂蜜”等，至今仍在维吾尔族村落中传唱，相关史料照片留存；麦西热甫，是维吾尔族最具代表性的传统民间聚会活动，集歌舞、游戏、聚餐、道德教化于一体，通常在节庆、婚礼、丰收等喜庆场合举行，也常作为社区日常娱乐方式，活动内容包括赛乃</w:t>
      </w:r>
      <w:r>
        <w:rPr>
          <w:rFonts w:hint="eastAsia" w:eastAsia="仿宋" w:cs="Times New Roman"/>
          <w:bCs/>
          <w:szCs w:val="32"/>
          <w:lang w:eastAsia="zh-CN"/>
        </w:rPr>
        <w:t>姆</w:t>
      </w:r>
      <w:r>
        <w:rPr>
          <w:rFonts w:hint="eastAsia" w:eastAsia="仿宋" w:cs="Times New Roman"/>
          <w:bCs/>
          <w:szCs w:val="32"/>
        </w:rPr>
        <w:t>舞蹈、对歌、说笑话、游戏（如敬茶舞、判官司）等，气氛热烈，通宵达旦</w:t>
      </w:r>
      <w:r>
        <w:rPr>
          <w:rFonts w:hint="eastAsia" w:ascii="Courier New" w:hAnsi="Courier New" w:eastAsia="仿宋" w:cs="Courier New"/>
          <w:bCs/>
          <w:szCs w:val="32"/>
        </w:rPr>
        <w:t>。</w:t>
      </w:r>
    </w:p>
    <w:p>
      <w:pPr>
        <w:ind w:firstLine="686"/>
        <w:rPr>
          <w:rFonts w:eastAsia="仿宋" w:cs="Times New Roman"/>
          <w:bCs/>
          <w:szCs w:val="32"/>
        </w:rPr>
      </w:pPr>
      <w:r>
        <w:rPr>
          <w:rFonts w:hint="eastAsia" w:eastAsia="仿宋" w:cs="Times New Roman"/>
          <w:bCs/>
          <w:szCs w:val="32"/>
        </w:rPr>
        <w:t>诺鲁孜节：每年3月20号到22号，与春分同日，也叫迎春节（开春节），该节日在当地至今仍很隆重，节日当天</w:t>
      </w:r>
      <w:r>
        <w:rPr>
          <w:rFonts w:eastAsia="仿宋" w:cs="Times New Roman"/>
          <w:bCs/>
          <w:szCs w:val="32"/>
        </w:rPr>
        <w:t>要做“诺鲁孜饭”，其是一种由大麦、鹰嘴豆、豌豆、巴旦</w:t>
      </w:r>
      <w:r>
        <w:rPr>
          <w:rFonts w:hint="eastAsia" w:eastAsia="仿宋" w:cs="Times New Roman"/>
          <w:bCs/>
          <w:szCs w:val="32"/>
          <w:lang w:eastAsia="zh-CN"/>
        </w:rPr>
        <w:t>姆</w:t>
      </w:r>
      <w:r>
        <w:rPr>
          <w:rFonts w:eastAsia="仿宋" w:cs="Times New Roman"/>
          <w:bCs/>
          <w:szCs w:val="32"/>
        </w:rPr>
        <w:t>、奶疙瘩等多种原料熬制而成的食物</w:t>
      </w:r>
      <w:r>
        <w:rPr>
          <w:rFonts w:hint="eastAsia" w:eastAsia="仿宋" w:cs="Times New Roman"/>
          <w:bCs/>
          <w:szCs w:val="32"/>
        </w:rPr>
        <w:t>，以及</w:t>
      </w:r>
      <w:r>
        <w:rPr>
          <w:rFonts w:eastAsia="仿宋" w:cs="Times New Roman"/>
          <w:bCs/>
          <w:szCs w:val="32"/>
        </w:rPr>
        <w:t>男女老少分别跳舞和唱歌，尽兴表达对新春的欢悦之情。</w:t>
      </w:r>
    </w:p>
    <w:p>
      <w:pPr>
        <w:ind w:firstLine="686"/>
        <w:rPr>
          <w:rFonts w:eastAsia="仿宋" w:cs="Times New Roman"/>
          <w:bCs/>
          <w:szCs w:val="32"/>
        </w:rPr>
      </w:pPr>
      <w:r>
        <w:rPr>
          <w:rFonts w:hint="eastAsia" w:eastAsia="仿宋" w:cs="Times New Roman"/>
          <w:bCs/>
          <w:szCs w:val="32"/>
        </w:rPr>
        <w:t>肉孜节：</w:t>
      </w:r>
      <w:r>
        <w:rPr>
          <w:rFonts w:eastAsia="仿宋" w:cs="Times New Roman"/>
          <w:bCs/>
          <w:szCs w:val="32"/>
        </w:rPr>
        <w:t>维吾尔族</w:t>
      </w:r>
      <w:r>
        <w:rPr>
          <w:rFonts w:hint="eastAsia" w:eastAsia="仿宋" w:cs="Times New Roman"/>
          <w:bCs/>
          <w:szCs w:val="32"/>
        </w:rPr>
        <w:t>等</w:t>
      </w:r>
      <w:r>
        <w:rPr>
          <w:rFonts w:hint="eastAsia" w:eastAsia="仿宋" w:cs="Times New Roman"/>
          <w:bCs/>
          <w:szCs w:val="32"/>
          <w:lang w:eastAsia="zh-CN"/>
        </w:rPr>
        <w:t>民族</w:t>
      </w:r>
      <w:r>
        <w:rPr>
          <w:rFonts w:hint="eastAsia" w:eastAsia="仿宋" w:cs="Times New Roman"/>
          <w:bCs/>
          <w:szCs w:val="32"/>
        </w:rPr>
        <w:t>重要传统节日之一，</w:t>
      </w:r>
      <w:r>
        <w:rPr>
          <w:rFonts w:eastAsia="仿宋" w:cs="Times New Roman"/>
          <w:bCs/>
          <w:szCs w:val="32"/>
        </w:rPr>
        <w:t>节日前家家户户粉刷房屋、打扫院落，制作油炸食品和糕点</w:t>
      </w:r>
      <w:r>
        <w:rPr>
          <w:rFonts w:hint="eastAsia" w:eastAsia="仿宋" w:cs="Times New Roman"/>
          <w:bCs/>
          <w:szCs w:val="32"/>
        </w:rPr>
        <w:t>，</w:t>
      </w:r>
      <w:r>
        <w:rPr>
          <w:rFonts w:eastAsia="仿宋" w:cs="Times New Roman"/>
          <w:bCs/>
          <w:szCs w:val="32"/>
        </w:rPr>
        <w:t>人们走亲访友，互赠节日食品，并前往墓地缅怀逝者</w:t>
      </w:r>
      <w:r>
        <w:rPr>
          <w:rFonts w:hint="eastAsia" w:eastAsia="仿宋" w:cs="Times New Roman"/>
          <w:bCs/>
          <w:szCs w:val="32"/>
        </w:rPr>
        <w:t>。</w:t>
      </w:r>
    </w:p>
    <w:p>
      <w:pPr>
        <w:ind w:firstLine="686"/>
        <w:rPr>
          <w:rFonts w:eastAsia="仿宋" w:cs="Times New Roman"/>
          <w:bCs/>
          <w:szCs w:val="32"/>
        </w:rPr>
      </w:pPr>
      <w:r>
        <w:rPr>
          <w:rFonts w:hint="eastAsia" w:eastAsia="仿宋" w:cs="Times New Roman"/>
          <w:bCs/>
          <w:szCs w:val="32"/>
        </w:rPr>
        <w:t>古尔邦节：</w:t>
      </w:r>
      <w:r>
        <w:rPr>
          <w:rFonts w:eastAsia="仿宋" w:cs="Times New Roman"/>
          <w:bCs/>
          <w:szCs w:val="32"/>
        </w:rPr>
        <w:t>维吾尔族</w:t>
      </w:r>
      <w:r>
        <w:rPr>
          <w:rFonts w:hint="eastAsia" w:eastAsia="仿宋" w:cs="Times New Roman"/>
          <w:bCs/>
          <w:szCs w:val="32"/>
        </w:rPr>
        <w:t>等</w:t>
      </w:r>
      <w:r>
        <w:rPr>
          <w:rFonts w:hint="eastAsia" w:eastAsia="仿宋" w:cs="Times New Roman"/>
          <w:bCs/>
          <w:szCs w:val="32"/>
          <w:lang w:eastAsia="zh-CN"/>
        </w:rPr>
        <w:t>民族</w:t>
      </w:r>
      <w:r>
        <w:rPr>
          <w:rFonts w:eastAsia="仿宋" w:cs="Times New Roman"/>
          <w:bCs/>
          <w:szCs w:val="32"/>
        </w:rPr>
        <w:t>最为隆重的传统节日之一</w:t>
      </w:r>
      <w:r>
        <w:rPr>
          <w:rFonts w:hint="eastAsia" w:eastAsia="仿宋" w:cs="Times New Roman"/>
          <w:bCs/>
          <w:szCs w:val="32"/>
        </w:rPr>
        <w:t>，</w:t>
      </w:r>
      <w:r>
        <w:rPr>
          <w:rFonts w:eastAsia="仿宋" w:cs="Times New Roman"/>
          <w:bCs/>
          <w:szCs w:val="32"/>
        </w:rPr>
        <w:t>节日期间家家户户炸馓子、做点心，走亲访友</w:t>
      </w:r>
      <w:r>
        <w:rPr>
          <w:rFonts w:hint="eastAsia" w:eastAsia="仿宋" w:cs="Times New Roman"/>
          <w:bCs/>
          <w:szCs w:val="32"/>
        </w:rPr>
        <w:t>，</w:t>
      </w:r>
      <w:r>
        <w:rPr>
          <w:rFonts w:eastAsia="仿宋" w:cs="Times New Roman"/>
          <w:bCs/>
          <w:szCs w:val="32"/>
        </w:rPr>
        <w:t>会礼后广场上还会跳起热情奔放的萨满舞，表达喜庆之情</w:t>
      </w:r>
      <w:r>
        <w:rPr>
          <w:rFonts w:hint="eastAsia" w:eastAsia="仿宋" w:cs="Times New Roman"/>
          <w:bCs/>
          <w:szCs w:val="32"/>
        </w:rPr>
        <w:t>。</w:t>
      </w:r>
    </w:p>
    <w:p>
      <w:pPr>
        <w:ind w:firstLine="686"/>
        <w:rPr>
          <w:rFonts w:eastAsia="仿宋" w:cs="Times New Roman"/>
          <w:bCs/>
          <w:szCs w:val="32"/>
        </w:rPr>
      </w:pPr>
      <w:r>
        <w:rPr>
          <w:rFonts w:hint="eastAsia" w:eastAsia="仿宋" w:cs="Times New Roman"/>
          <w:bCs/>
          <w:szCs w:val="32"/>
        </w:rPr>
        <w:t>以上特色节日至今仍在莎车县延续庆祝，巴旦</w:t>
      </w:r>
      <w:r>
        <w:rPr>
          <w:rFonts w:hint="eastAsia" w:eastAsia="仿宋" w:cs="Times New Roman"/>
          <w:bCs/>
          <w:szCs w:val="32"/>
          <w:lang w:eastAsia="zh-CN"/>
        </w:rPr>
        <w:t>姆</w:t>
      </w:r>
      <w:r>
        <w:rPr>
          <w:rFonts w:hint="eastAsia" w:eastAsia="仿宋" w:cs="Times New Roman"/>
          <w:bCs/>
          <w:szCs w:val="32"/>
        </w:rPr>
        <w:t>均是节日中招待客人必备的坚果，走亲访友赠送佳品，有相关照片留存。</w:t>
      </w:r>
    </w:p>
    <w:p>
      <w:pPr>
        <w:pStyle w:val="21"/>
        <w:spacing w:after="0"/>
        <w:ind w:firstLine="644" w:firstLineChars="200"/>
        <w:rPr>
          <w:rFonts w:hint="eastAsia" w:ascii="仿宋" w:hAnsi="仿宋" w:eastAsia="仿宋"/>
          <w:color w:val="auto"/>
        </w:rPr>
      </w:pPr>
      <w:r>
        <w:rPr>
          <w:rFonts w:hint="eastAsia" w:ascii="仿宋" w:hAnsi="仿宋" w:eastAsia="仿宋"/>
          <w:color w:val="auto"/>
        </w:rPr>
        <w:t>7.</w:t>
      </w:r>
      <w:r>
        <w:rPr>
          <w:rFonts w:ascii="仿宋" w:hAnsi="仿宋" w:eastAsia="仿宋"/>
          <w:color w:val="auto"/>
        </w:rPr>
        <w:t>传统民间技艺</w:t>
      </w:r>
    </w:p>
    <w:p>
      <w:pPr>
        <w:ind w:firstLine="686"/>
        <w:rPr>
          <w:rFonts w:eastAsia="仿宋" w:cs="Times New Roman"/>
          <w:bCs/>
          <w:szCs w:val="32"/>
        </w:rPr>
      </w:pPr>
      <w:r>
        <w:rPr>
          <w:rFonts w:hint="eastAsia" w:eastAsia="仿宋" w:cs="Times New Roman"/>
          <w:bCs/>
          <w:szCs w:val="32"/>
        </w:rPr>
        <w:t>遗产地传统民间技艺较为丰富，主要包括巴旦</w:t>
      </w:r>
      <w:r>
        <w:rPr>
          <w:rFonts w:hint="eastAsia" w:eastAsia="仿宋" w:cs="Times New Roman"/>
          <w:bCs/>
          <w:szCs w:val="32"/>
          <w:lang w:eastAsia="zh-CN"/>
        </w:rPr>
        <w:t>姆</w:t>
      </w:r>
      <w:r>
        <w:rPr>
          <w:rFonts w:hint="eastAsia" w:eastAsia="仿宋" w:cs="Times New Roman"/>
          <w:bCs/>
          <w:szCs w:val="32"/>
        </w:rPr>
        <w:t>食品制作、</w:t>
      </w:r>
      <w:r>
        <w:rPr>
          <w:rFonts w:eastAsia="仿宋" w:cs="Times New Roman"/>
          <w:bCs/>
          <w:szCs w:val="32"/>
        </w:rPr>
        <w:t>巴旦</w:t>
      </w:r>
      <w:r>
        <w:rPr>
          <w:rFonts w:hint="eastAsia" w:eastAsia="仿宋" w:cs="Times New Roman"/>
          <w:bCs/>
          <w:szCs w:val="32"/>
          <w:lang w:eastAsia="zh-CN"/>
        </w:rPr>
        <w:t>姆</w:t>
      </w:r>
      <w:r>
        <w:rPr>
          <w:rFonts w:eastAsia="仿宋" w:cs="Times New Roman"/>
          <w:bCs/>
          <w:szCs w:val="32"/>
        </w:rPr>
        <w:t>花纹传统刺绣、铁器雕刻等</w:t>
      </w:r>
      <w:r>
        <w:rPr>
          <w:rFonts w:hint="eastAsia" w:eastAsia="仿宋" w:cs="Times New Roman"/>
          <w:bCs/>
          <w:szCs w:val="32"/>
        </w:rPr>
        <w:t>，是莎车巴旦</w:t>
      </w:r>
      <w:r>
        <w:rPr>
          <w:rFonts w:hint="eastAsia" w:eastAsia="仿宋" w:cs="Times New Roman"/>
          <w:bCs/>
          <w:szCs w:val="32"/>
          <w:lang w:eastAsia="zh-CN"/>
        </w:rPr>
        <w:t>姆</w:t>
      </w:r>
      <w:r>
        <w:rPr>
          <w:rFonts w:hint="eastAsia" w:eastAsia="仿宋" w:cs="Times New Roman"/>
          <w:bCs/>
          <w:szCs w:val="32"/>
        </w:rPr>
        <w:t>栽培系统的重要组成部分。目前，上述技艺仍沿袭师徒传承、家族传承等传统模式延续，但随着工业化进程加快，掌握传统技艺的群体逐渐减少，亟需加强保护。</w:t>
      </w:r>
    </w:p>
    <w:p>
      <w:pPr>
        <w:ind w:firstLine="686"/>
        <w:rPr>
          <w:rFonts w:eastAsia="仿宋" w:cs="Times New Roman"/>
          <w:bCs/>
          <w:szCs w:val="32"/>
        </w:rPr>
      </w:pPr>
      <w:r>
        <w:rPr>
          <w:rFonts w:hint="eastAsia" w:eastAsia="仿宋" w:cs="Times New Roman"/>
          <w:bCs/>
          <w:szCs w:val="32"/>
        </w:rPr>
        <w:t>巴旦</w:t>
      </w:r>
      <w:r>
        <w:rPr>
          <w:rFonts w:hint="eastAsia" w:eastAsia="仿宋" w:cs="Times New Roman"/>
          <w:bCs/>
          <w:szCs w:val="32"/>
          <w:lang w:eastAsia="zh-CN"/>
        </w:rPr>
        <w:t>姆</w:t>
      </w:r>
      <w:r>
        <w:rPr>
          <w:rFonts w:hint="eastAsia" w:eastAsia="仿宋" w:cs="Times New Roman"/>
          <w:bCs/>
          <w:szCs w:val="32"/>
        </w:rPr>
        <w:t>相关食品制作技艺：巴旦</w:t>
      </w:r>
      <w:r>
        <w:rPr>
          <w:rFonts w:hint="eastAsia" w:eastAsia="仿宋" w:cs="Times New Roman"/>
          <w:bCs/>
          <w:szCs w:val="32"/>
          <w:lang w:eastAsia="zh-CN"/>
        </w:rPr>
        <w:t>姆</w:t>
      </w:r>
      <w:r>
        <w:rPr>
          <w:rFonts w:hint="eastAsia" w:eastAsia="仿宋" w:cs="Times New Roman"/>
          <w:bCs/>
          <w:szCs w:val="32"/>
        </w:rPr>
        <w:t>在当地维吾尔族群众中被尊为“圣果”，其果实纹样寓意幸福与吉祥，与中华文化倡导吉祥、幸福、和平的“和”文化内涵高度契合。围绕巴旦</w:t>
      </w:r>
      <w:r>
        <w:rPr>
          <w:rFonts w:hint="eastAsia" w:eastAsia="仿宋" w:cs="Times New Roman"/>
          <w:bCs/>
          <w:szCs w:val="32"/>
          <w:lang w:eastAsia="zh-CN"/>
        </w:rPr>
        <w:t>姆</w:t>
      </w:r>
      <w:r>
        <w:rPr>
          <w:rFonts w:hint="eastAsia" w:eastAsia="仿宋" w:cs="Times New Roman"/>
          <w:bCs/>
          <w:szCs w:val="32"/>
        </w:rPr>
        <w:t>形成了丰富的饮食文化，巴旦</w:t>
      </w:r>
      <w:r>
        <w:rPr>
          <w:rFonts w:hint="eastAsia" w:eastAsia="仿宋" w:cs="Times New Roman"/>
          <w:bCs/>
          <w:szCs w:val="32"/>
          <w:lang w:eastAsia="zh-CN"/>
        </w:rPr>
        <w:t>姆</w:t>
      </w:r>
      <w:r>
        <w:rPr>
          <w:rFonts w:hint="eastAsia" w:eastAsia="仿宋" w:cs="Times New Roman"/>
          <w:bCs/>
          <w:szCs w:val="32"/>
        </w:rPr>
        <w:t>手抓饭、巴旦</w:t>
      </w:r>
      <w:r>
        <w:rPr>
          <w:rFonts w:hint="eastAsia" w:eastAsia="仿宋" w:cs="Times New Roman"/>
          <w:bCs/>
          <w:szCs w:val="32"/>
          <w:lang w:eastAsia="zh-CN"/>
        </w:rPr>
        <w:t>姆</w:t>
      </w:r>
      <w:r>
        <w:rPr>
          <w:rFonts w:hint="eastAsia" w:eastAsia="仿宋" w:cs="Times New Roman"/>
          <w:bCs/>
          <w:szCs w:val="32"/>
        </w:rPr>
        <w:t>馕、巴旦</w:t>
      </w:r>
      <w:r>
        <w:rPr>
          <w:rFonts w:hint="eastAsia" w:eastAsia="仿宋" w:cs="Times New Roman"/>
          <w:bCs/>
          <w:szCs w:val="32"/>
          <w:lang w:eastAsia="zh-CN"/>
        </w:rPr>
        <w:t>姆</w:t>
      </w:r>
      <w:r>
        <w:rPr>
          <w:rFonts w:hint="eastAsia" w:eastAsia="仿宋" w:cs="Times New Roman"/>
          <w:bCs/>
          <w:szCs w:val="32"/>
        </w:rPr>
        <w:t>切糕等为日常特色食品；在传统节日和待客礼仪中，巴旦</w:t>
      </w:r>
      <w:r>
        <w:rPr>
          <w:rFonts w:hint="eastAsia" w:eastAsia="仿宋" w:cs="Times New Roman"/>
          <w:bCs/>
          <w:szCs w:val="32"/>
          <w:lang w:eastAsia="zh-CN"/>
        </w:rPr>
        <w:t>姆</w:t>
      </w:r>
      <w:r>
        <w:rPr>
          <w:rFonts w:hint="eastAsia" w:eastAsia="仿宋" w:cs="Times New Roman"/>
          <w:bCs/>
          <w:szCs w:val="32"/>
        </w:rPr>
        <w:t>更是必不可少的佳品。以巴旦</w:t>
      </w:r>
      <w:r>
        <w:rPr>
          <w:rFonts w:hint="eastAsia" w:eastAsia="仿宋" w:cs="Times New Roman"/>
          <w:bCs/>
          <w:szCs w:val="32"/>
          <w:lang w:eastAsia="zh-CN"/>
        </w:rPr>
        <w:t>姆</w:t>
      </w:r>
      <w:r>
        <w:rPr>
          <w:rFonts w:hint="eastAsia" w:eastAsia="仿宋" w:cs="Times New Roman"/>
          <w:bCs/>
          <w:szCs w:val="32"/>
        </w:rPr>
        <w:t>入药和保健的医药文化同样颇具价值，至今在遗产保护区各族群众家庭日常生活中活态传承。</w:t>
      </w:r>
    </w:p>
    <w:p>
      <w:pPr>
        <w:ind w:firstLine="686"/>
        <w:rPr>
          <w:rFonts w:eastAsia="仿宋" w:cs="Times New Roman"/>
          <w:bCs/>
          <w:szCs w:val="32"/>
        </w:rPr>
      </w:pPr>
      <w:r>
        <w:rPr>
          <w:rFonts w:hint="eastAsia" w:eastAsia="仿宋" w:cs="Times New Roman"/>
          <w:bCs/>
          <w:szCs w:val="32"/>
        </w:rPr>
        <w:t>巴旦</w:t>
      </w:r>
      <w:r>
        <w:rPr>
          <w:rFonts w:hint="eastAsia" w:eastAsia="仿宋" w:cs="Times New Roman"/>
          <w:bCs/>
          <w:szCs w:val="32"/>
          <w:lang w:eastAsia="zh-CN"/>
        </w:rPr>
        <w:t>姆</w:t>
      </w:r>
      <w:r>
        <w:rPr>
          <w:rFonts w:hint="eastAsia" w:eastAsia="仿宋" w:cs="Times New Roman"/>
          <w:bCs/>
          <w:szCs w:val="32"/>
        </w:rPr>
        <w:t>花帽等纺织技艺：维吾尔族男性常戴的花帽以巴旦</w:t>
      </w:r>
      <w:r>
        <w:rPr>
          <w:rFonts w:hint="eastAsia" w:eastAsia="仿宋" w:cs="Times New Roman"/>
          <w:bCs/>
          <w:szCs w:val="32"/>
          <w:lang w:eastAsia="zh-CN"/>
        </w:rPr>
        <w:t>姆</w:t>
      </w:r>
      <w:r>
        <w:rPr>
          <w:rFonts w:hint="eastAsia" w:eastAsia="仿宋" w:cs="Times New Roman"/>
          <w:bCs/>
          <w:szCs w:val="32"/>
        </w:rPr>
        <w:t>纹为主要装饰图案，绣制工艺包括丝线平绣、十字花绣、丝线结绣、串珠片绣、格子架绣、盘金银绣等。制作时，妇女先在四片帽面上绣出彩色纹样，缝合后套于</w:t>
      </w:r>
      <w:r>
        <w:rPr>
          <w:rFonts w:hint="eastAsia" w:eastAsia="仿宋" w:cs="Times New Roman"/>
          <w:bCs/>
          <w:szCs w:val="32"/>
          <w:lang w:eastAsia="zh-CN"/>
        </w:rPr>
        <w:t>木</w:t>
      </w:r>
      <w:r>
        <w:rPr>
          <w:rFonts w:hint="eastAsia" w:eastAsia="仿宋" w:cs="Times New Roman"/>
          <w:bCs/>
          <w:szCs w:val="32"/>
        </w:rPr>
        <w:t>模定型，最后镶饰黑绒布边。绣品还涵盖民族服装、围巾、枕头、帷帘、地毯、被面等日常生活用品。目前该技艺县级非遗传承人有阿布力孜·艾麦尔、图尔荪尼亚孜汗·热合曼等。</w:t>
      </w:r>
    </w:p>
    <w:p>
      <w:pPr>
        <w:ind w:firstLine="686"/>
        <w:rPr>
          <w:rFonts w:eastAsia="仿宋" w:cs="Times New Roman"/>
          <w:bCs/>
          <w:szCs w:val="32"/>
        </w:rPr>
      </w:pPr>
      <w:r>
        <w:rPr>
          <w:rFonts w:hint="eastAsia" w:eastAsia="仿宋" w:cs="Times New Roman"/>
          <w:bCs/>
          <w:szCs w:val="32"/>
        </w:rPr>
        <w:t>维吾尔医药（食疗）（国家级非遗）：莎车县的传统医药体系，2011年被列入国家级非物质文化遗产名录。在莎车民间，食疗技艺通过师徒传承、家族传承延续至今，当地维吾尔族群众依然遵循古老的饮食养生法则，根据不同季节、体质选择食材，将杏干、巴旦</w:t>
      </w:r>
      <w:r>
        <w:rPr>
          <w:rFonts w:hint="eastAsia" w:eastAsia="仿宋" w:cs="Times New Roman"/>
          <w:bCs/>
          <w:szCs w:val="32"/>
          <w:lang w:eastAsia="zh-CN"/>
        </w:rPr>
        <w:t>姆</w:t>
      </w:r>
      <w:r>
        <w:rPr>
          <w:rFonts w:hint="eastAsia" w:eastAsia="仿宋" w:cs="Times New Roman"/>
          <w:bCs/>
          <w:szCs w:val="32"/>
        </w:rPr>
        <w:t>、蜂蜜、羊肉等本地物产巧妙配伍，在品味美食的同时收获健康。当前由阿布都克力</w:t>
      </w:r>
      <w:r>
        <w:rPr>
          <w:rFonts w:hint="eastAsia" w:eastAsia="仿宋" w:cs="Times New Roman"/>
          <w:bCs/>
          <w:szCs w:val="32"/>
          <w:lang w:eastAsia="zh-CN"/>
        </w:rPr>
        <w:t>姆</w:t>
      </w:r>
      <w:r>
        <w:rPr>
          <w:rFonts w:hint="eastAsia" w:eastAsia="仿宋" w:cs="Times New Roman"/>
          <w:bCs/>
          <w:szCs w:val="32"/>
        </w:rPr>
        <w:t>·阿布都热</w:t>
      </w:r>
      <w:r>
        <w:rPr>
          <w:rFonts w:hint="eastAsia" w:eastAsia="仿宋" w:cs="Times New Roman"/>
          <w:bCs/>
          <w:szCs w:val="32"/>
          <w:lang w:val="en-US" w:eastAsia="zh-CN"/>
        </w:rPr>
        <w:t>木</w:t>
      </w:r>
      <w:r>
        <w:rPr>
          <w:rFonts w:hint="eastAsia" w:eastAsia="仿宋" w:cs="Times New Roman"/>
          <w:bCs/>
          <w:szCs w:val="32"/>
        </w:rPr>
        <w:t>作为国家级非遗传承人进行传承发展。</w:t>
      </w:r>
    </w:p>
    <w:p>
      <w:pPr>
        <w:ind w:firstLine="686"/>
        <w:rPr>
          <w:rFonts w:eastAsia="仿宋" w:cs="Times New Roman"/>
          <w:bCs/>
          <w:szCs w:val="32"/>
        </w:rPr>
      </w:pPr>
      <w:r>
        <w:rPr>
          <w:rFonts w:hint="eastAsia" w:eastAsia="仿宋" w:cs="Times New Roman"/>
          <w:bCs/>
          <w:szCs w:val="32"/>
        </w:rPr>
        <w:t>维吾尔族铁器加工技艺。铁器加工技艺以“喀赞其街”（维吾尔语意为“铸造铁锅的地方”）为核心</w:t>
      </w:r>
      <w:r>
        <w:rPr>
          <w:rFonts w:hint="eastAsia" w:eastAsia="仿宋" w:cs="Times New Roman"/>
          <w:bCs/>
          <w:szCs w:val="32"/>
          <w:lang w:val="en-US" w:eastAsia="zh-CN"/>
        </w:rPr>
        <w:t>的</w:t>
      </w:r>
      <w:r>
        <w:rPr>
          <w:rFonts w:hint="eastAsia" w:eastAsia="仿宋" w:cs="Times New Roman"/>
          <w:bCs/>
          <w:szCs w:val="32"/>
        </w:rPr>
        <w:t>传承地，形成于清晚期（约1870年），因历史上聚集众多制作售卖各种铁器铜器民间匠人而得名，如铁壶、铁盆、铁锅、铁制农具、小刀、马鞍、驴鞍等生活生产用具一应俱全，这些产品多以巴旦</w:t>
      </w:r>
      <w:r>
        <w:rPr>
          <w:rFonts w:hint="eastAsia" w:eastAsia="仿宋" w:cs="Times New Roman"/>
          <w:bCs/>
          <w:szCs w:val="32"/>
          <w:lang w:eastAsia="zh-CN"/>
        </w:rPr>
        <w:t>姆</w:t>
      </w:r>
      <w:r>
        <w:rPr>
          <w:rFonts w:hint="eastAsia" w:eastAsia="仿宋" w:cs="Times New Roman"/>
          <w:bCs/>
          <w:szCs w:val="32"/>
        </w:rPr>
        <w:t>纹作为重要装饰花纹。第四代铜器手工艺人麦麦提明·托合提有着50年铜器制作经验，将技艺传授给儿子，父子俩经营的店铺既保障家庭生计，又承担传承使命。</w:t>
      </w:r>
    </w:p>
    <w:p>
      <w:pPr>
        <w:ind w:firstLine="686"/>
        <w:rPr>
          <w:rFonts w:eastAsia="仿宋" w:cs="Times New Roman"/>
          <w:bCs/>
          <w:szCs w:val="32"/>
        </w:rPr>
      </w:pPr>
      <w:r>
        <w:rPr>
          <w:rFonts w:hint="eastAsia" w:eastAsia="仿宋" w:cs="Times New Roman"/>
          <w:bCs/>
          <w:szCs w:val="32"/>
        </w:rPr>
        <w:t>维吾尔族</w:t>
      </w:r>
      <w:r>
        <w:rPr>
          <w:rFonts w:hint="eastAsia" w:eastAsia="仿宋" w:cs="Times New Roman"/>
          <w:bCs/>
          <w:szCs w:val="32"/>
          <w:lang w:val="en-US" w:eastAsia="zh-CN"/>
        </w:rPr>
        <w:t>木</w:t>
      </w:r>
      <w:r>
        <w:rPr>
          <w:rFonts w:hint="eastAsia" w:eastAsia="仿宋" w:cs="Times New Roman"/>
          <w:bCs/>
          <w:szCs w:val="32"/>
        </w:rPr>
        <w:t>雕技艺。维吾尔族匠人利用本地杨</w:t>
      </w:r>
      <w:r>
        <w:rPr>
          <w:rFonts w:hint="eastAsia" w:eastAsia="仿宋" w:cs="Times New Roman"/>
          <w:bCs/>
          <w:szCs w:val="32"/>
          <w:lang w:val="en-US" w:eastAsia="zh-CN"/>
        </w:rPr>
        <w:t>木</w:t>
      </w:r>
      <w:r>
        <w:rPr>
          <w:rFonts w:hint="eastAsia" w:eastAsia="仿宋" w:cs="Times New Roman"/>
          <w:bCs/>
          <w:szCs w:val="32"/>
        </w:rPr>
        <w:t>、桑</w:t>
      </w:r>
      <w:r>
        <w:rPr>
          <w:rFonts w:hint="eastAsia" w:eastAsia="仿宋" w:cs="Times New Roman"/>
          <w:bCs/>
          <w:szCs w:val="32"/>
          <w:lang w:val="en-US" w:eastAsia="zh-CN"/>
        </w:rPr>
        <w:t>木</w:t>
      </w:r>
      <w:r>
        <w:rPr>
          <w:rFonts w:hint="eastAsia" w:eastAsia="仿宋" w:cs="Times New Roman"/>
          <w:bCs/>
          <w:szCs w:val="32"/>
        </w:rPr>
        <w:t>、核桃</w:t>
      </w:r>
      <w:r>
        <w:rPr>
          <w:rFonts w:hint="eastAsia" w:eastAsia="仿宋" w:cs="Times New Roman"/>
          <w:bCs/>
          <w:szCs w:val="32"/>
          <w:lang w:val="en-US" w:eastAsia="zh-CN"/>
        </w:rPr>
        <w:t>木</w:t>
      </w:r>
      <w:r>
        <w:rPr>
          <w:rFonts w:hint="eastAsia" w:eastAsia="仿宋" w:cs="Times New Roman"/>
          <w:bCs/>
          <w:szCs w:val="32"/>
        </w:rPr>
        <w:t>等</w:t>
      </w:r>
      <w:r>
        <w:rPr>
          <w:rFonts w:hint="eastAsia" w:eastAsia="仿宋" w:cs="Times New Roman"/>
          <w:bCs/>
          <w:szCs w:val="32"/>
          <w:lang w:val="en-US" w:eastAsia="zh-CN"/>
        </w:rPr>
        <w:t>木</w:t>
      </w:r>
      <w:r>
        <w:rPr>
          <w:rFonts w:hint="eastAsia" w:eastAsia="仿宋" w:cs="Times New Roman"/>
          <w:bCs/>
          <w:szCs w:val="32"/>
        </w:rPr>
        <w:t>材，通过砍、削、刻、雕、磨等工序，制作出</w:t>
      </w:r>
      <w:r>
        <w:rPr>
          <w:rFonts w:hint="eastAsia" w:eastAsia="仿宋" w:cs="Times New Roman"/>
          <w:bCs/>
          <w:szCs w:val="32"/>
          <w:lang w:val="en-US" w:eastAsia="zh-CN"/>
        </w:rPr>
        <w:t>木</w:t>
      </w:r>
      <w:r>
        <w:rPr>
          <w:rFonts w:hint="eastAsia" w:eastAsia="仿宋" w:cs="Times New Roman"/>
          <w:bCs/>
          <w:szCs w:val="32"/>
        </w:rPr>
        <w:t>碗、</w:t>
      </w:r>
      <w:r>
        <w:rPr>
          <w:rFonts w:hint="eastAsia" w:eastAsia="仿宋" w:cs="Times New Roman"/>
          <w:bCs/>
          <w:szCs w:val="32"/>
          <w:lang w:val="en-US" w:eastAsia="zh-CN"/>
        </w:rPr>
        <w:t>木</w:t>
      </w:r>
      <w:r>
        <w:rPr>
          <w:rFonts w:hint="eastAsia" w:eastAsia="仿宋" w:cs="Times New Roman"/>
          <w:bCs/>
          <w:szCs w:val="32"/>
        </w:rPr>
        <w:t>盆、</w:t>
      </w:r>
      <w:r>
        <w:rPr>
          <w:rFonts w:hint="eastAsia" w:eastAsia="仿宋" w:cs="Times New Roman"/>
          <w:bCs/>
          <w:szCs w:val="32"/>
          <w:lang w:val="en-US" w:eastAsia="zh-CN"/>
        </w:rPr>
        <w:t>木</w:t>
      </w:r>
      <w:r>
        <w:rPr>
          <w:rFonts w:hint="eastAsia" w:eastAsia="仿宋" w:cs="Times New Roman"/>
          <w:bCs/>
          <w:szCs w:val="32"/>
        </w:rPr>
        <w:t>勺、</w:t>
      </w:r>
      <w:r>
        <w:rPr>
          <w:rFonts w:hint="eastAsia" w:eastAsia="仿宋" w:cs="Times New Roman"/>
          <w:bCs/>
          <w:szCs w:val="32"/>
          <w:lang w:val="en-US" w:eastAsia="zh-CN"/>
        </w:rPr>
        <w:t>木</w:t>
      </w:r>
      <w:r>
        <w:rPr>
          <w:rFonts w:hint="eastAsia" w:eastAsia="仿宋" w:cs="Times New Roman"/>
          <w:bCs/>
          <w:szCs w:val="32"/>
        </w:rPr>
        <w:t>制婴儿车、</w:t>
      </w:r>
      <w:r>
        <w:rPr>
          <w:rFonts w:hint="eastAsia" w:eastAsia="仿宋" w:cs="Times New Roman"/>
          <w:bCs/>
          <w:szCs w:val="32"/>
          <w:lang w:val="en-US" w:eastAsia="zh-CN"/>
        </w:rPr>
        <w:t>木</w:t>
      </w:r>
      <w:r>
        <w:rPr>
          <w:rFonts w:hint="eastAsia" w:eastAsia="仿宋" w:cs="Times New Roman"/>
          <w:bCs/>
          <w:szCs w:val="32"/>
        </w:rPr>
        <w:t>制乐器等丰富多样的生活用具和艺术品，其产品表面常雕刻巴旦</w:t>
      </w:r>
      <w:r>
        <w:rPr>
          <w:rFonts w:hint="eastAsia" w:eastAsia="仿宋" w:cs="Times New Roman"/>
          <w:bCs/>
          <w:szCs w:val="32"/>
          <w:lang w:eastAsia="zh-CN"/>
        </w:rPr>
        <w:t>姆</w:t>
      </w:r>
      <w:r>
        <w:rPr>
          <w:rFonts w:hint="eastAsia" w:eastAsia="仿宋" w:cs="Times New Roman"/>
          <w:bCs/>
          <w:szCs w:val="32"/>
        </w:rPr>
        <w:t>纹、花卉纹等传统图案，线条流畅，古朴实用。</w:t>
      </w:r>
      <w:r>
        <w:rPr>
          <w:rFonts w:eastAsia="仿宋" w:cs="Times New Roman"/>
          <w:bCs/>
          <w:szCs w:val="32"/>
        </w:rPr>
        <w:t>至今在遗产保护区各族群众家庭日常生活中活态传承。</w:t>
      </w:r>
    </w:p>
    <w:p>
      <w:pPr>
        <w:pStyle w:val="21"/>
        <w:spacing w:after="0"/>
        <w:ind w:firstLine="644" w:firstLineChars="200"/>
        <w:rPr>
          <w:rFonts w:hint="eastAsia" w:ascii="仿宋" w:hAnsi="仿宋" w:eastAsia="仿宋"/>
          <w:color w:val="auto"/>
        </w:rPr>
      </w:pPr>
      <w:r>
        <w:rPr>
          <w:rFonts w:hint="eastAsia" w:ascii="仿宋" w:hAnsi="仿宋" w:eastAsia="仿宋"/>
          <w:color w:val="auto"/>
        </w:rPr>
        <w:t>8.传承人队伍</w:t>
      </w:r>
    </w:p>
    <w:p>
      <w:pPr>
        <w:ind w:firstLine="686"/>
        <w:rPr>
          <w:rFonts w:eastAsia="仿宋" w:cs="Times New Roman"/>
          <w:bCs/>
          <w:szCs w:val="32"/>
        </w:rPr>
      </w:pPr>
      <w:r>
        <w:rPr>
          <w:rFonts w:eastAsia="仿宋" w:cs="Times New Roman"/>
          <w:bCs/>
          <w:szCs w:val="32"/>
        </w:rPr>
        <w:t>由于巴旦</w:t>
      </w:r>
      <w:r>
        <w:rPr>
          <w:rFonts w:hint="eastAsia" w:eastAsia="仿宋" w:cs="Times New Roman"/>
          <w:bCs/>
          <w:szCs w:val="32"/>
          <w:lang w:eastAsia="zh-CN"/>
        </w:rPr>
        <w:t>姆</w:t>
      </w:r>
      <w:r>
        <w:rPr>
          <w:rFonts w:eastAsia="仿宋" w:cs="Times New Roman"/>
          <w:bCs/>
          <w:szCs w:val="32"/>
        </w:rPr>
        <w:t>在县域经济的重要地位，巴旦</w:t>
      </w:r>
      <w:r>
        <w:rPr>
          <w:rFonts w:hint="eastAsia" w:eastAsia="仿宋" w:cs="Times New Roman"/>
          <w:bCs/>
          <w:szCs w:val="32"/>
          <w:lang w:eastAsia="zh-CN"/>
        </w:rPr>
        <w:t>姆</w:t>
      </w:r>
      <w:r>
        <w:rPr>
          <w:rFonts w:eastAsia="仿宋" w:cs="Times New Roman"/>
          <w:bCs/>
          <w:szCs w:val="32"/>
        </w:rPr>
        <w:t>种植系统由莎车林业和草原局管理，并且</w:t>
      </w:r>
      <w:r>
        <w:rPr>
          <w:rFonts w:hint="eastAsia" w:eastAsia="仿宋" w:cs="Times New Roman"/>
          <w:bCs/>
          <w:szCs w:val="32"/>
        </w:rPr>
        <w:t>作为</w:t>
      </w:r>
      <w:r>
        <w:rPr>
          <w:rFonts w:eastAsia="仿宋" w:cs="Times New Roman"/>
          <w:bCs/>
          <w:szCs w:val="32"/>
        </w:rPr>
        <w:t>其最重要的管理工作</w:t>
      </w:r>
      <w:r>
        <w:rPr>
          <w:rFonts w:hint="eastAsia" w:eastAsia="仿宋" w:cs="Times New Roman"/>
          <w:bCs/>
          <w:szCs w:val="32"/>
        </w:rPr>
        <w:t>，具体管理工作由林果办公室负责。林果办现有巴旦</w:t>
      </w:r>
      <w:r>
        <w:rPr>
          <w:rFonts w:hint="eastAsia" w:eastAsia="仿宋" w:cs="Times New Roman"/>
          <w:bCs/>
          <w:szCs w:val="32"/>
          <w:lang w:eastAsia="zh-CN"/>
        </w:rPr>
        <w:t>姆</w:t>
      </w:r>
      <w:r>
        <w:rPr>
          <w:rFonts w:hint="eastAsia" w:eastAsia="仿宋" w:cs="Times New Roman"/>
          <w:bCs/>
          <w:szCs w:val="32"/>
        </w:rPr>
        <w:t>技术推广人员10人，每年组织多次对农民的巴旦</w:t>
      </w:r>
      <w:r>
        <w:rPr>
          <w:rFonts w:hint="eastAsia" w:eastAsia="仿宋" w:cs="Times New Roman"/>
          <w:bCs/>
          <w:szCs w:val="32"/>
          <w:lang w:eastAsia="zh-CN"/>
        </w:rPr>
        <w:t>姆</w:t>
      </w:r>
      <w:r>
        <w:rPr>
          <w:rFonts w:hint="eastAsia" w:eastAsia="仿宋" w:cs="Times New Roman"/>
          <w:bCs/>
          <w:szCs w:val="32"/>
        </w:rPr>
        <w:t>种植管理培训，以提高他们的经营管理水平。遗产保护区乡镇由农业发展中心负责，阿热勒乡管理人员3人，种植大户16人，种植能手46人；阿瓦提镇管理人员3人，种植大户39人，种植能手42人；塔尕尔其镇管理人员2人，种植大户12人，种植能手30人。</w:t>
      </w:r>
      <w:r>
        <w:rPr>
          <w:rFonts w:eastAsia="仿宋" w:cs="Times New Roman"/>
          <w:bCs/>
          <w:szCs w:val="32"/>
        </w:rPr>
        <w:t>在种质资源保护方面，主要由独立法人单位莎车二林场开展相关工作，</w:t>
      </w:r>
      <w:r>
        <w:rPr>
          <w:rFonts w:hint="eastAsia" w:eastAsia="仿宋" w:cs="Times New Roman"/>
          <w:bCs/>
          <w:szCs w:val="32"/>
        </w:rPr>
        <w:t>针对巴旦</w:t>
      </w:r>
      <w:r>
        <w:rPr>
          <w:rFonts w:hint="eastAsia" w:eastAsia="仿宋" w:cs="Times New Roman"/>
          <w:bCs/>
          <w:szCs w:val="32"/>
          <w:lang w:eastAsia="zh-CN"/>
        </w:rPr>
        <w:t>姆</w:t>
      </w:r>
      <w:r>
        <w:rPr>
          <w:rFonts w:hint="eastAsia" w:eastAsia="仿宋" w:cs="Times New Roman"/>
          <w:bCs/>
          <w:szCs w:val="32"/>
        </w:rPr>
        <w:t>文化，莎车开展了非遗传承人认定，目前已经培育认定上千</w:t>
      </w:r>
      <w:r>
        <w:rPr>
          <w:rFonts w:hint="eastAsia" w:eastAsia="仿宋" w:cs="Times New Roman"/>
          <w:bCs/>
          <w:szCs w:val="32"/>
          <w:lang w:eastAsia="zh-CN"/>
        </w:rPr>
        <w:t>名</w:t>
      </w:r>
      <w:r>
        <w:rPr>
          <w:rFonts w:hint="eastAsia" w:eastAsia="仿宋" w:cs="Times New Roman"/>
          <w:bCs/>
          <w:szCs w:val="32"/>
        </w:rPr>
        <w:t>传承人。部分代表传承人基本情况参见附件4。</w:t>
      </w:r>
    </w:p>
    <w:p>
      <w:pPr>
        <w:pStyle w:val="21"/>
        <w:spacing w:after="0"/>
        <w:ind w:firstLine="644" w:firstLineChars="200"/>
        <w:rPr>
          <w:rFonts w:hint="eastAsia" w:ascii="仿宋" w:hAnsi="仿宋" w:eastAsia="仿宋"/>
          <w:color w:val="auto"/>
        </w:rPr>
      </w:pPr>
      <w:r>
        <w:rPr>
          <w:rFonts w:hint="eastAsia" w:ascii="仿宋" w:hAnsi="仿宋" w:eastAsia="仿宋"/>
          <w:color w:val="auto"/>
        </w:rPr>
        <w:t>9.核心保护要素内在关联性</w:t>
      </w:r>
    </w:p>
    <w:p>
      <w:pPr>
        <w:ind w:firstLine="686"/>
        <w:rPr>
          <w:rFonts w:eastAsia="仿宋" w:cs="Times New Roman"/>
          <w:bCs/>
          <w:szCs w:val="32"/>
        </w:rPr>
      </w:pPr>
      <w:r>
        <w:rPr>
          <w:rFonts w:hint="eastAsia" w:eastAsia="仿宋" w:cs="Times New Roman"/>
          <w:bCs/>
          <w:szCs w:val="32"/>
        </w:rPr>
        <w:t>在莎车</w:t>
      </w:r>
      <w:r>
        <w:rPr>
          <w:rFonts w:eastAsia="仿宋" w:cs="Times New Roman"/>
          <w:bCs/>
          <w:szCs w:val="32"/>
        </w:rPr>
        <w:t>巴旦</w:t>
      </w:r>
      <w:r>
        <w:rPr>
          <w:rFonts w:hint="eastAsia" w:eastAsia="仿宋" w:cs="Times New Roman"/>
          <w:bCs/>
          <w:szCs w:val="32"/>
          <w:lang w:eastAsia="zh-CN"/>
        </w:rPr>
        <w:t>姆</w:t>
      </w:r>
      <w:r>
        <w:rPr>
          <w:rFonts w:eastAsia="仿宋" w:cs="Times New Roman"/>
          <w:bCs/>
          <w:szCs w:val="32"/>
        </w:rPr>
        <w:t>种植系统</w:t>
      </w:r>
      <w:r>
        <w:rPr>
          <w:rFonts w:hint="eastAsia" w:eastAsia="仿宋" w:cs="Times New Roman"/>
          <w:bCs/>
          <w:szCs w:val="32"/>
        </w:rPr>
        <w:t>中，当地人民按照当地的自然环境特点和不同农作物的习性，创造了以巴旦</w:t>
      </w:r>
      <w:r>
        <w:rPr>
          <w:rFonts w:hint="eastAsia" w:eastAsia="仿宋" w:cs="Times New Roman"/>
          <w:bCs/>
          <w:szCs w:val="32"/>
          <w:lang w:eastAsia="zh-CN"/>
        </w:rPr>
        <w:t>姆</w:t>
      </w:r>
      <w:r>
        <w:rPr>
          <w:rFonts w:hint="eastAsia" w:eastAsia="仿宋" w:cs="Times New Roman"/>
          <w:bCs/>
          <w:szCs w:val="32"/>
        </w:rPr>
        <w:t>为核心的、具有很强适应性和韧性的特色生产系统，包括传统的知识与技术、生态的复合农业种植模式；该生产系统不仅为当地民众提供各类食物和经济收入，而且从生产劳动、生活和社会交往过程中演生出了与巴旦</w:t>
      </w:r>
      <w:r>
        <w:rPr>
          <w:rFonts w:hint="eastAsia" w:eastAsia="仿宋" w:cs="Times New Roman"/>
          <w:bCs/>
          <w:szCs w:val="32"/>
          <w:lang w:eastAsia="zh-CN"/>
        </w:rPr>
        <w:t>姆</w:t>
      </w:r>
      <w:r>
        <w:rPr>
          <w:rFonts w:hint="eastAsia" w:eastAsia="仿宋" w:cs="Times New Roman"/>
          <w:bCs/>
          <w:szCs w:val="32"/>
        </w:rPr>
        <w:t>种植、加工、利用等农业相关的系列节庆活动、乡风民俗等文化类型。</w:t>
      </w:r>
      <w:r>
        <w:rPr>
          <w:rFonts w:eastAsia="仿宋" w:cs="Times New Roman"/>
          <w:bCs/>
          <w:szCs w:val="32"/>
        </w:rPr>
        <w:t>生计与食物安全、民俗文化构成了社会子系统，种植加工技术、农业生物多样性和巴旦</w:t>
      </w:r>
      <w:r>
        <w:rPr>
          <w:rFonts w:hint="eastAsia" w:eastAsia="仿宋" w:cs="Times New Roman"/>
          <w:bCs/>
          <w:szCs w:val="32"/>
          <w:lang w:eastAsia="zh-CN"/>
        </w:rPr>
        <w:t>姆</w:t>
      </w:r>
      <w:r>
        <w:rPr>
          <w:rFonts w:eastAsia="仿宋" w:cs="Times New Roman"/>
          <w:bCs/>
          <w:szCs w:val="32"/>
        </w:rPr>
        <w:t>景观等构成了生产子系统</w:t>
      </w:r>
      <w:r>
        <w:rPr>
          <w:rFonts w:hint="eastAsia" w:eastAsia="仿宋" w:cs="Times New Roman"/>
          <w:bCs/>
          <w:szCs w:val="32"/>
        </w:rPr>
        <w:t>（图1-3）</w:t>
      </w:r>
      <w:r>
        <w:rPr>
          <w:rFonts w:eastAsia="仿宋" w:cs="Times New Roman"/>
          <w:bCs/>
          <w:szCs w:val="32"/>
        </w:rPr>
        <w:t>，二者相互作用，形成了可持续的自然-经济-社会复合系统。然而，</w:t>
      </w:r>
      <w:r>
        <w:rPr>
          <w:rFonts w:hint="eastAsia" w:eastAsia="仿宋" w:cs="Times New Roman"/>
          <w:bCs/>
          <w:szCs w:val="32"/>
        </w:rPr>
        <w:t>受气候灾害频发、市场波动加剧、专业技术人才短缺等因素影响，当前莎车巴旦</w:t>
      </w:r>
      <w:r>
        <w:rPr>
          <w:rFonts w:hint="eastAsia" w:eastAsia="仿宋" w:cs="Times New Roman"/>
          <w:bCs/>
          <w:szCs w:val="32"/>
          <w:lang w:eastAsia="zh-CN"/>
        </w:rPr>
        <w:t>姆</w:t>
      </w:r>
      <w:r>
        <w:rPr>
          <w:rFonts w:hint="eastAsia" w:eastAsia="仿宋" w:cs="Times New Roman"/>
          <w:bCs/>
          <w:szCs w:val="32"/>
        </w:rPr>
        <w:t>种植面积呈现萎缩态势，传统生态技术与农耕技艺面临失传风险，系统稳定性受到威胁，亟待加强系统性保护与活态传承。</w:t>
      </w:r>
    </w:p>
    <w:p>
      <w:pPr>
        <w:ind w:firstLine="686"/>
        <w:jc w:val="center"/>
        <w:rPr>
          <w:rFonts w:eastAsia="仿宋" w:cs="Times New Roman"/>
          <w:bCs/>
          <w:szCs w:val="32"/>
        </w:rPr>
      </w:pPr>
      <w:r>
        <w:rPr>
          <w:rFonts w:eastAsia="仿宋" w:cs="Times New Roman"/>
          <w:bCs/>
          <w:szCs w:val="32"/>
        </w:rPr>
        <w:drawing>
          <wp:anchor distT="0" distB="0" distL="114300" distR="114300" simplePos="0" relativeHeight="251659264" behindDoc="0" locked="0" layoutInCell="1" allowOverlap="1">
            <wp:simplePos x="0" y="0"/>
            <wp:positionH relativeFrom="column">
              <wp:posOffset>28575</wp:posOffset>
            </wp:positionH>
            <wp:positionV relativeFrom="paragraph">
              <wp:posOffset>135255</wp:posOffset>
            </wp:positionV>
            <wp:extent cx="5763260" cy="1764665"/>
            <wp:effectExtent l="19050" t="0" r="8890" b="0"/>
            <wp:wrapTopAndBottom/>
            <wp:docPr id="6788259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25948"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3260" cy="1764665"/>
                    </a:xfrm>
                    <a:prstGeom prst="rect">
                      <a:avLst/>
                    </a:prstGeom>
                    <a:noFill/>
                    <a:ln>
                      <a:noFill/>
                    </a:ln>
                  </pic:spPr>
                </pic:pic>
              </a:graphicData>
            </a:graphic>
          </wp:anchor>
        </w:drawing>
      </w:r>
      <w:r>
        <w:rPr>
          <w:rFonts w:hint="eastAsia" w:eastAsia="仿宋" w:cs="Times New Roman"/>
          <w:bCs/>
          <w:szCs w:val="32"/>
        </w:rPr>
        <w:t>图1-3 莎车巴旦</w:t>
      </w:r>
      <w:r>
        <w:rPr>
          <w:rFonts w:hint="eastAsia" w:eastAsia="仿宋" w:cs="Times New Roman"/>
          <w:bCs/>
          <w:szCs w:val="32"/>
          <w:lang w:eastAsia="zh-CN"/>
        </w:rPr>
        <w:t>姆</w:t>
      </w:r>
      <w:r>
        <w:rPr>
          <w:rFonts w:hint="eastAsia" w:eastAsia="仿宋" w:cs="Times New Roman"/>
          <w:bCs/>
          <w:szCs w:val="32"/>
        </w:rPr>
        <w:t>栽培系统要素</w:t>
      </w:r>
    </w:p>
    <w:p>
      <w:pPr>
        <w:pStyle w:val="2"/>
        <w:rPr>
          <w:color w:val="auto"/>
        </w:rPr>
      </w:pPr>
      <w:bookmarkStart w:id="8" w:name="_Toc224309331"/>
      <w:r>
        <w:rPr>
          <w:rFonts w:hint="eastAsia"/>
          <w:color w:val="auto"/>
        </w:rPr>
        <w:t>二、项目资金安排</w:t>
      </w:r>
      <w:bookmarkEnd w:id="8"/>
    </w:p>
    <w:p>
      <w:pPr>
        <w:ind w:firstLine="686"/>
        <w:rPr>
          <w:rFonts w:eastAsia="仿宋" w:cs="Times New Roman"/>
          <w:bCs/>
          <w:szCs w:val="32"/>
        </w:rPr>
      </w:pPr>
      <w:r>
        <w:rPr>
          <w:rFonts w:hint="eastAsia" w:eastAsia="仿宋" w:cs="Times New Roman"/>
          <w:bCs/>
          <w:szCs w:val="32"/>
        </w:rPr>
        <w:t>未来三年（2026-2028年），围绕新疆莎车巴旦</w:t>
      </w:r>
      <w:r>
        <w:rPr>
          <w:rFonts w:hint="eastAsia" w:eastAsia="仿宋" w:cs="Times New Roman"/>
          <w:bCs/>
          <w:szCs w:val="32"/>
          <w:lang w:eastAsia="zh-CN"/>
        </w:rPr>
        <w:t>姆</w:t>
      </w:r>
      <w:r>
        <w:rPr>
          <w:rFonts w:hint="eastAsia" w:eastAsia="仿宋" w:cs="Times New Roman"/>
          <w:bCs/>
          <w:szCs w:val="32"/>
        </w:rPr>
        <w:t>栽培系统保护传承发展计划安排项目14个，项目资金13077万元。按照资金来源渠道划分：财政资金支持项目4个，项目资金5426万元；援疆资金项目9个，项目资金6855万元；社会资金项目1个，项目资金796万元。按照领域划分：保护领域项目5个，项目资金4800万元；传承领域项目5个，项目资金2385万元；发展领域项目4个，项目资金5892万元。</w:t>
      </w:r>
    </w:p>
    <w:p>
      <w:pPr>
        <w:ind w:firstLine="686"/>
        <w:rPr>
          <w:rFonts w:eastAsia="仿宋" w:cs="Times New Roman"/>
          <w:bCs/>
          <w:szCs w:val="32"/>
        </w:rPr>
      </w:pPr>
      <w:r>
        <w:rPr>
          <w:rFonts w:hint="eastAsia" w:eastAsia="仿宋" w:cs="Times New Roman"/>
          <w:bCs/>
          <w:szCs w:val="32"/>
        </w:rPr>
        <w:t>每个项目的名称、牵头和参与单位、投入方式（政府或市场）、预算金额、主要内容、预期效果等具体如下：</w:t>
      </w:r>
    </w:p>
    <w:p>
      <w:pPr>
        <w:ind w:firstLine="688"/>
        <w:rPr>
          <w:rFonts w:hint="eastAsia" w:ascii="仿宋" w:hAnsi="仿宋" w:eastAsia="仿宋"/>
          <w:b/>
          <w:bCs/>
        </w:rPr>
      </w:pPr>
      <w:r>
        <w:rPr>
          <w:rFonts w:hint="eastAsia" w:ascii="仿宋" w:hAnsi="仿宋" w:eastAsia="仿宋"/>
          <w:b/>
          <w:bCs/>
        </w:rPr>
        <w:t>1.巴旦</w:t>
      </w:r>
      <w:r>
        <w:rPr>
          <w:rFonts w:hint="eastAsia" w:ascii="仿宋" w:hAnsi="仿宋" w:eastAsia="仿宋"/>
          <w:b/>
          <w:bCs/>
          <w:lang w:eastAsia="zh-CN"/>
        </w:rPr>
        <w:t>姆</w:t>
      </w:r>
      <w:r>
        <w:rPr>
          <w:rFonts w:hint="eastAsia" w:ascii="仿宋" w:hAnsi="仿宋" w:eastAsia="仿宋"/>
          <w:b/>
          <w:bCs/>
        </w:rPr>
        <w:t>种质资源收集、培育与保护工程（保护项目）</w:t>
      </w:r>
    </w:p>
    <w:p>
      <w:pPr>
        <w:ind w:firstLine="686"/>
        <w:rPr>
          <w:rFonts w:hint="eastAsia" w:ascii="仿宋" w:hAnsi="仿宋" w:eastAsia="仿宋"/>
        </w:rPr>
      </w:pPr>
      <w:r>
        <w:rPr>
          <w:rFonts w:hint="eastAsia" w:ascii="仿宋" w:hAnsi="仿宋" w:eastAsia="仿宋"/>
        </w:rPr>
        <w:t>项目由莎车县林业和草原局牵头，</w:t>
      </w:r>
      <w:r>
        <w:rPr>
          <w:rFonts w:hint="eastAsia" w:ascii="仿宋" w:hAnsi="仿宋" w:eastAsia="仿宋"/>
          <w:lang w:eastAsia="zh-CN"/>
        </w:rPr>
        <w:t>莎车县国有二林场</w:t>
      </w:r>
      <w:r>
        <w:rPr>
          <w:rFonts w:hint="eastAsia" w:ascii="仿宋" w:hAnsi="仿宋" w:eastAsia="仿宋"/>
        </w:rPr>
        <w:t>具体实施，相关科研单位参与。依托援疆资金计划投入800万元，项目实施期限为2026-2028年。项目拟对全县70余个巴旦</w:t>
      </w:r>
      <w:r>
        <w:rPr>
          <w:rFonts w:hint="eastAsia" w:ascii="仿宋" w:hAnsi="仿宋" w:eastAsia="仿宋"/>
          <w:lang w:eastAsia="zh-CN"/>
        </w:rPr>
        <w:t>姆</w:t>
      </w:r>
      <w:r>
        <w:rPr>
          <w:rFonts w:hint="eastAsia" w:ascii="仿宋" w:hAnsi="仿宋" w:eastAsia="仿宋"/>
        </w:rPr>
        <w:t>品种及野生近缘种进行全面普查，系统开展种质资源采集工作，建立标准化种质资源档案，为巴旦</w:t>
      </w:r>
      <w:r>
        <w:rPr>
          <w:rFonts w:hint="eastAsia" w:ascii="仿宋" w:hAnsi="仿宋" w:eastAsia="仿宋"/>
          <w:lang w:eastAsia="zh-CN"/>
        </w:rPr>
        <w:t>姆</w:t>
      </w:r>
      <w:r>
        <w:rPr>
          <w:rFonts w:hint="eastAsia" w:ascii="仿宋" w:hAnsi="仿宋" w:eastAsia="仿宋"/>
        </w:rPr>
        <w:t>优良品种选育和遗传多样性保护奠定基础。</w:t>
      </w:r>
    </w:p>
    <w:p>
      <w:pPr>
        <w:ind w:firstLine="688"/>
        <w:rPr>
          <w:rFonts w:hint="eastAsia" w:ascii="仿宋" w:hAnsi="仿宋" w:eastAsia="仿宋"/>
          <w:b/>
          <w:bCs/>
        </w:rPr>
      </w:pPr>
      <w:r>
        <w:rPr>
          <w:rFonts w:hint="eastAsia" w:ascii="仿宋" w:hAnsi="仿宋" w:eastAsia="仿宋"/>
          <w:b/>
          <w:bCs/>
        </w:rPr>
        <w:t>2.莎车巴旦</w:t>
      </w:r>
      <w:r>
        <w:rPr>
          <w:rFonts w:hint="eastAsia" w:ascii="仿宋" w:hAnsi="仿宋" w:eastAsia="仿宋"/>
          <w:b/>
          <w:bCs/>
          <w:lang w:eastAsia="zh-CN"/>
        </w:rPr>
        <w:t>姆</w:t>
      </w:r>
      <w:r>
        <w:rPr>
          <w:rFonts w:hint="eastAsia" w:ascii="仿宋" w:hAnsi="仿宋" w:eastAsia="仿宋"/>
          <w:b/>
          <w:bCs/>
        </w:rPr>
        <w:t>古树群保护提升工程（保护项目）</w:t>
      </w:r>
    </w:p>
    <w:p>
      <w:pPr>
        <w:ind w:firstLine="686"/>
        <w:rPr>
          <w:rFonts w:hint="eastAsia" w:ascii="仿宋" w:hAnsi="仿宋" w:eastAsia="仿宋"/>
        </w:rPr>
      </w:pPr>
      <w:r>
        <w:rPr>
          <w:rFonts w:hint="eastAsia" w:ascii="仿宋" w:hAnsi="仿宋" w:eastAsia="仿宋"/>
        </w:rPr>
        <w:t>项目由莎车县林业和草原局牵头，</w:t>
      </w:r>
      <w:r>
        <w:rPr>
          <w:rFonts w:hint="eastAsia" w:ascii="仿宋" w:hAnsi="仿宋" w:eastAsia="仿宋"/>
          <w:lang w:eastAsia="zh-CN"/>
        </w:rPr>
        <w:t>莎车县国有二林场</w:t>
      </w:r>
      <w:r>
        <w:rPr>
          <w:rFonts w:hint="eastAsia" w:ascii="仿宋" w:hAnsi="仿宋" w:eastAsia="仿宋"/>
        </w:rPr>
        <w:t>具体实施。依托援疆资金计划投入100万元，项目实施期限为2026-2028年。项目针对树龄较大、仍具经济价值的巴旦</w:t>
      </w:r>
      <w:r>
        <w:rPr>
          <w:rFonts w:hint="eastAsia" w:ascii="仿宋" w:hAnsi="仿宋" w:eastAsia="仿宋"/>
          <w:lang w:eastAsia="zh-CN"/>
        </w:rPr>
        <w:t>姆</w:t>
      </w:r>
      <w:r>
        <w:rPr>
          <w:rFonts w:hint="eastAsia" w:ascii="仿宋" w:hAnsi="仿宋" w:eastAsia="仿宋"/>
        </w:rPr>
        <w:t>古树，采取科学有效的复壮和保护措施，实现古树群景观价值、生态效益与经济效益的多重提升。</w:t>
      </w:r>
    </w:p>
    <w:p>
      <w:pPr>
        <w:ind w:firstLine="688"/>
        <w:rPr>
          <w:rFonts w:hint="eastAsia" w:ascii="仿宋" w:hAnsi="仿宋" w:eastAsia="仿宋"/>
          <w:b/>
          <w:bCs/>
        </w:rPr>
      </w:pPr>
      <w:r>
        <w:rPr>
          <w:rFonts w:hint="eastAsia" w:ascii="仿宋" w:hAnsi="仿宋" w:eastAsia="仿宋"/>
          <w:b/>
          <w:bCs/>
        </w:rPr>
        <w:t>3.巴旦</w:t>
      </w:r>
      <w:r>
        <w:rPr>
          <w:rFonts w:hint="eastAsia" w:ascii="仿宋" w:hAnsi="仿宋" w:eastAsia="仿宋"/>
          <w:b/>
          <w:bCs/>
          <w:lang w:eastAsia="zh-CN"/>
        </w:rPr>
        <w:t>姆</w:t>
      </w:r>
      <w:r>
        <w:rPr>
          <w:rFonts w:hint="eastAsia" w:ascii="仿宋" w:hAnsi="仿宋" w:eastAsia="仿宋"/>
          <w:b/>
          <w:bCs/>
        </w:rPr>
        <w:t>特色林果授粉补助项目（保护项目）</w:t>
      </w:r>
    </w:p>
    <w:p>
      <w:pPr>
        <w:ind w:firstLine="686"/>
        <w:rPr>
          <w:rFonts w:hint="eastAsia" w:ascii="仿宋" w:hAnsi="仿宋" w:eastAsia="仿宋"/>
        </w:rPr>
      </w:pPr>
      <w:r>
        <w:rPr>
          <w:rFonts w:hint="eastAsia" w:ascii="仿宋" w:hAnsi="仿宋" w:eastAsia="仿宋"/>
        </w:rPr>
        <w:t>项目由莎车县林业和草原局牵头，各乡镇参与，相关服务主体具体实施。依托衔接资金计划投入2400万元，项目实施期限为2026-2028年。项目拟对全县巴旦</w:t>
      </w:r>
      <w:r>
        <w:rPr>
          <w:rFonts w:hint="eastAsia" w:ascii="仿宋" w:hAnsi="仿宋" w:eastAsia="仿宋"/>
          <w:lang w:eastAsia="zh-CN"/>
        </w:rPr>
        <w:t>姆</w:t>
      </w:r>
      <w:r>
        <w:rPr>
          <w:rFonts w:hint="eastAsia" w:ascii="仿宋" w:hAnsi="仿宋" w:eastAsia="仿宋"/>
        </w:rPr>
        <w:t>等果树结果期果园开展蜜蜂授粉补助，按照3亩/箱的标准，共计投放蜜蜂43万箱，按60元/箱的标准给予补助，以提升授粉效率和果实品质。</w:t>
      </w:r>
    </w:p>
    <w:p>
      <w:pPr>
        <w:ind w:firstLine="688"/>
        <w:rPr>
          <w:rFonts w:hint="eastAsia" w:ascii="仿宋" w:hAnsi="仿宋" w:eastAsia="仿宋"/>
          <w:b/>
          <w:bCs/>
        </w:rPr>
      </w:pPr>
      <w:r>
        <w:rPr>
          <w:rFonts w:hint="eastAsia" w:ascii="仿宋" w:hAnsi="仿宋" w:eastAsia="仿宋"/>
          <w:b/>
          <w:bCs/>
        </w:rPr>
        <w:t>4.莎车巴旦</w:t>
      </w:r>
      <w:r>
        <w:rPr>
          <w:rFonts w:hint="eastAsia" w:ascii="仿宋" w:hAnsi="仿宋" w:eastAsia="仿宋"/>
          <w:b/>
          <w:bCs/>
          <w:lang w:eastAsia="zh-CN"/>
        </w:rPr>
        <w:t>姆</w:t>
      </w:r>
      <w:r>
        <w:rPr>
          <w:rFonts w:hint="eastAsia" w:ascii="仿宋" w:hAnsi="仿宋" w:eastAsia="仿宋"/>
          <w:b/>
          <w:bCs/>
        </w:rPr>
        <w:t>乡镇文化馆建设项目（保护项目）</w:t>
      </w:r>
    </w:p>
    <w:p>
      <w:pPr>
        <w:ind w:firstLine="686"/>
        <w:rPr>
          <w:rFonts w:hint="eastAsia" w:ascii="仿宋" w:hAnsi="仿宋" w:eastAsia="仿宋"/>
        </w:rPr>
      </w:pPr>
      <w:r>
        <w:rPr>
          <w:rFonts w:hint="eastAsia" w:ascii="仿宋" w:hAnsi="仿宋" w:eastAsia="仿宋"/>
        </w:rPr>
        <w:t>项目由莎车县阿热勒乡阿孜干巴格村牵头实施。依托援疆资金计划投入1000万元，项目实施期限为2026-2028年。项目拟在阿孜干巴格村村委会附近选址建设乡镇文化馆，面向社会公众全面展示莎车巴旦</w:t>
      </w:r>
      <w:r>
        <w:rPr>
          <w:rFonts w:hint="eastAsia" w:ascii="仿宋" w:hAnsi="仿宋" w:eastAsia="仿宋"/>
          <w:lang w:eastAsia="zh-CN"/>
        </w:rPr>
        <w:t>姆</w:t>
      </w:r>
      <w:r>
        <w:rPr>
          <w:rFonts w:hint="eastAsia" w:ascii="仿宋" w:hAnsi="仿宋" w:eastAsia="仿宋"/>
        </w:rPr>
        <w:t>的历史起源、生长习性、种质资源与育种技术、艺术文化、医药保健等知识信息，打造基层农业文化展示窗口。</w:t>
      </w:r>
    </w:p>
    <w:p>
      <w:pPr>
        <w:ind w:firstLine="688"/>
        <w:rPr>
          <w:rFonts w:hint="eastAsia" w:ascii="仿宋" w:hAnsi="仿宋" w:eastAsia="仿宋"/>
          <w:b/>
          <w:bCs/>
          <w:color w:val="000000" w:themeColor="text1"/>
        </w:rPr>
      </w:pPr>
      <w:r>
        <w:rPr>
          <w:rFonts w:hint="eastAsia" w:ascii="仿宋" w:hAnsi="仿宋" w:eastAsia="仿宋"/>
          <w:b/>
          <w:bCs/>
          <w:color w:val="000000" w:themeColor="text1"/>
        </w:rPr>
        <w:t>5.莎车巴旦</w:t>
      </w:r>
      <w:r>
        <w:rPr>
          <w:rFonts w:hint="eastAsia" w:ascii="仿宋" w:hAnsi="仿宋" w:eastAsia="仿宋"/>
          <w:b/>
          <w:bCs/>
          <w:color w:val="000000" w:themeColor="text1"/>
          <w:lang w:eastAsia="zh-CN"/>
        </w:rPr>
        <w:t>姆</w:t>
      </w:r>
      <w:r>
        <w:rPr>
          <w:rFonts w:hint="eastAsia" w:ascii="仿宋" w:hAnsi="仿宋" w:eastAsia="仿宋"/>
          <w:b/>
          <w:bCs/>
          <w:color w:val="000000" w:themeColor="text1"/>
        </w:rPr>
        <w:t>县级博物馆建设项目（保护</w:t>
      </w:r>
      <w:r>
        <w:rPr>
          <w:rFonts w:hint="eastAsia" w:ascii="仿宋" w:hAnsi="仿宋" w:eastAsia="仿宋"/>
          <w:b/>
          <w:bCs/>
        </w:rPr>
        <w:t>项目</w:t>
      </w:r>
      <w:r>
        <w:rPr>
          <w:rFonts w:hint="eastAsia" w:ascii="仿宋" w:hAnsi="仿宋" w:eastAsia="仿宋"/>
          <w:b/>
          <w:bCs/>
          <w:color w:val="000000" w:themeColor="text1"/>
        </w:rPr>
        <w:t>）</w:t>
      </w:r>
    </w:p>
    <w:p>
      <w:pPr>
        <w:ind w:firstLine="686"/>
        <w:rPr>
          <w:rFonts w:hint="eastAsia" w:ascii="仿宋" w:hAnsi="仿宋" w:eastAsia="仿宋"/>
          <w:color w:val="000000" w:themeColor="text1"/>
        </w:rPr>
      </w:pPr>
      <w:r>
        <w:rPr>
          <w:rFonts w:hint="eastAsia" w:ascii="仿宋" w:hAnsi="仿宋" w:eastAsia="仿宋"/>
          <w:color w:val="000000" w:themeColor="text1"/>
        </w:rPr>
        <w:t>项目由莎车县林业和草原局牵头，县委宣传部、县文旅局、县文化馆等部门参与，莎车县国有二林场具体实施。依托援疆资金计划投入500万元，项目实施期限为2026-2028年。项目拟开展县级巴旦</w:t>
      </w:r>
      <w:r>
        <w:rPr>
          <w:rFonts w:hint="eastAsia" w:ascii="仿宋" w:hAnsi="仿宋" w:eastAsia="仿宋"/>
          <w:color w:val="000000" w:themeColor="text1"/>
          <w:lang w:eastAsia="zh-CN"/>
        </w:rPr>
        <w:t>姆</w:t>
      </w:r>
      <w:r>
        <w:rPr>
          <w:rFonts w:hint="eastAsia" w:ascii="仿宋" w:hAnsi="仿宋" w:eastAsia="仿宋"/>
          <w:color w:val="000000" w:themeColor="text1"/>
        </w:rPr>
        <w:t>博物馆建设，系统展示莎车巴旦</w:t>
      </w:r>
      <w:r>
        <w:rPr>
          <w:rFonts w:hint="eastAsia" w:ascii="仿宋" w:hAnsi="仿宋" w:eastAsia="仿宋"/>
          <w:color w:val="000000" w:themeColor="text1"/>
          <w:lang w:eastAsia="zh-CN"/>
        </w:rPr>
        <w:t>姆</w:t>
      </w:r>
      <w:r>
        <w:rPr>
          <w:rFonts w:hint="eastAsia" w:ascii="仿宋" w:hAnsi="仿宋" w:eastAsia="仿宋"/>
          <w:color w:val="000000" w:themeColor="text1"/>
        </w:rPr>
        <w:t>的历史起源、相关文化、种质资源与育种技术、种植加工技术、医药保健等知识信息，打造集收藏、展示、研究、教育于一体的综合性文化阵地。</w:t>
      </w:r>
    </w:p>
    <w:p>
      <w:pPr>
        <w:ind w:firstLine="688"/>
        <w:rPr>
          <w:rFonts w:hint="eastAsia" w:ascii="仿宋" w:hAnsi="仿宋" w:eastAsia="仿宋"/>
          <w:b/>
          <w:bCs/>
        </w:rPr>
      </w:pPr>
      <w:r>
        <w:rPr>
          <w:rFonts w:hint="eastAsia" w:ascii="仿宋" w:hAnsi="仿宋" w:eastAsia="仿宋"/>
          <w:b/>
          <w:bCs/>
        </w:rPr>
        <w:t>6.巴旦</w:t>
      </w:r>
      <w:r>
        <w:rPr>
          <w:rFonts w:hint="eastAsia" w:ascii="仿宋" w:hAnsi="仿宋" w:eastAsia="仿宋"/>
          <w:b/>
          <w:bCs/>
          <w:lang w:eastAsia="zh-CN"/>
        </w:rPr>
        <w:t>姆</w:t>
      </w:r>
      <w:r>
        <w:rPr>
          <w:rFonts w:hint="eastAsia" w:ascii="仿宋" w:hAnsi="仿宋" w:eastAsia="仿宋"/>
          <w:b/>
          <w:bCs/>
        </w:rPr>
        <w:t>绿色基地种植建设项目（传承项目）</w:t>
      </w:r>
    </w:p>
    <w:p>
      <w:pPr>
        <w:ind w:firstLine="686"/>
        <w:rPr>
          <w:rFonts w:hint="eastAsia" w:ascii="仿宋" w:hAnsi="仿宋" w:eastAsia="仿宋"/>
        </w:rPr>
      </w:pPr>
      <w:r>
        <w:rPr>
          <w:rFonts w:hint="eastAsia" w:ascii="仿宋" w:hAnsi="仿宋" w:eastAsia="仿宋"/>
        </w:rPr>
        <w:t>项目由莎车县农业农村局牵头，县农业农村局、各乡镇人民政府具体实施，相关部门及各乡镇参与。依托上海援疆资金计划投入2015万元，项目实施期限为2026-2028年。项目拟从巴旦</w:t>
      </w:r>
      <w:r>
        <w:rPr>
          <w:rFonts w:hint="eastAsia" w:ascii="仿宋" w:hAnsi="仿宋" w:eastAsia="仿宋"/>
          <w:lang w:eastAsia="zh-CN"/>
        </w:rPr>
        <w:t>姆</w:t>
      </w:r>
      <w:r>
        <w:rPr>
          <w:rFonts w:hint="eastAsia" w:ascii="仿宋" w:hAnsi="仿宋" w:eastAsia="仿宋"/>
        </w:rPr>
        <w:t>种植基地环境整治与硬件设施建设、组织体系建设与运行管理、生产操作规程与基地生产记录等生产管理体系完善，以及品牌培育、企业孵化等多个方面系统推进，提升巴旦</w:t>
      </w:r>
      <w:r>
        <w:rPr>
          <w:rFonts w:hint="eastAsia" w:ascii="仿宋" w:hAnsi="仿宋" w:eastAsia="仿宋"/>
          <w:lang w:eastAsia="zh-CN"/>
        </w:rPr>
        <w:t>姆</w:t>
      </w:r>
      <w:r>
        <w:rPr>
          <w:rFonts w:hint="eastAsia" w:ascii="仿宋" w:hAnsi="仿宋" w:eastAsia="仿宋"/>
        </w:rPr>
        <w:t>标准化绿色种植水平。</w:t>
      </w:r>
    </w:p>
    <w:p>
      <w:pPr>
        <w:ind w:firstLine="688"/>
        <w:rPr>
          <w:rFonts w:hint="eastAsia" w:ascii="仿宋" w:hAnsi="仿宋" w:eastAsia="仿宋"/>
        </w:rPr>
      </w:pPr>
      <w:r>
        <w:rPr>
          <w:rFonts w:hint="eastAsia" w:ascii="仿宋" w:hAnsi="仿宋" w:eastAsia="仿宋"/>
          <w:b/>
          <w:bCs/>
        </w:rPr>
        <w:t>7.莎车巴旦</w:t>
      </w:r>
      <w:r>
        <w:rPr>
          <w:rFonts w:hint="eastAsia" w:ascii="仿宋" w:hAnsi="仿宋" w:eastAsia="仿宋"/>
          <w:b/>
          <w:bCs/>
          <w:lang w:eastAsia="zh-CN"/>
        </w:rPr>
        <w:t>姆</w:t>
      </w:r>
      <w:r>
        <w:rPr>
          <w:rFonts w:hint="eastAsia" w:ascii="仿宋" w:hAnsi="仿宋" w:eastAsia="仿宋"/>
          <w:b/>
          <w:bCs/>
        </w:rPr>
        <w:t>标准化高效示范园与科研基地建设项目（传承项目）</w:t>
      </w:r>
    </w:p>
    <w:p>
      <w:pPr>
        <w:ind w:firstLine="686"/>
        <w:rPr>
          <w:rFonts w:hint="eastAsia" w:ascii="仿宋" w:hAnsi="仿宋" w:eastAsia="仿宋"/>
        </w:rPr>
      </w:pPr>
      <w:r>
        <w:rPr>
          <w:rFonts w:hint="eastAsia" w:ascii="仿宋" w:hAnsi="仿宋" w:eastAsia="仿宋"/>
        </w:rPr>
        <w:t>项目由莎车县科学技术局牵头，联合自治区林科院、莎车县林业和草原局、莎车县国有第二林场共同实施。依托援疆资金计划投入100万元，项目实施期限为2026年。项目拟在国有第二林场建设集老果园改造、新品种中试示范及其他林果现代种植与科研试验于一体的综合试验示范基地，形成可复制推广的配套技术体系。</w:t>
      </w:r>
    </w:p>
    <w:p>
      <w:pPr>
        <w:ind w:firstLine="688"/>
        <w:rPr>
          <w:rFonts w:hint="eastAsia" w:ascii="仿宋" w:hAnsi="仿宋" w:eastAsia="仿宋"/>
          <w:b/>
          <w:bCs/>
        </w:rPr>
      </w:pPr>
      <w:r>
        <w:rPr>
          <w:rFonts w:hint="eastAsia" w:ascii="仿宋" w:hAnsi="仿宋" w:eastAsia="仿宋"/>
          <w:b/>
          <w:bCs/>
        </w:rPr>
        <w:t>8.编写出版中国重要农业文化遗产读本《新疆莎车巴旦</w:t>
      </w:r>
      <w:r>
        <w:rPr>
          <w:rFonts w:hint="eastAsia" w:ascii="仿宋" w:hAnsi="仿宋" w:eastAsia="仿宋"/>
          <w:b/>
          <w:bCs/>
          <w:lang w:eastAsia="zh-CN"/>
        </w:rPr>
        <w:t>姆</w:t>
      </w:r>
      <w:r>
        <w:rPr>
          <w:rFonts w:hint="eastAsia" w:ascii="仿宋" w:hAnsi="仿宋" w:eastAsia="仿宋"/>
          <w:b/>
          <w:bCs/>
        </w:rPr>
        <w:t>栽培系统》（传承项目）</w:t>
      </w:r>
    </w:p>
    <w:p>
      <w:pPr>
        <w:ind w:firstLine="686"/>
        <w:rPr>
          <w:rFonts w:hint="eastAsia" w:ascii="仿宋" w:hAnsi="仿宋" w:eastAsia="仿宋"/>
        </w:rPr>
      </w:pPr>
      <w:r>
        <w:rPr>
          <w:rFonts w:hint="eastAsia" w:ascii="仿宋" w:hAnsi="仿宋" w:eastAsia="仿宋"/>
        </w:rPr>
        <w:t>项目由莎车县林草局、县文旅局牵头实施，依托援疆资金计划投入约</w:t>
      </w:r>
      <w:r>
        <w:rPr>
          <w:rFonts w:hint="eastAsia" w:ascii="仿宋" w:hAnsi="仿宋" w:eastAsia="仿宋"/>
          <w:color w:val="000000" w:themeColor="text1"/>
        </w:rPr>
        <w:t>20</w:t>
      </w:r>
      <w:r>
        <w:rPr>
          <w:rFonts w:hint="eastAsia" w:ascii="仿宋" w:hAnsi="仿宋" w:eastAsia="仿宋"/>
        </w:rPr>
        <w:t>万，项目实施期限为2026-2028年，</w:t>
      </w:r>
      <w:r>
        <w:rPr>
          <w:rFonts w:ascii="仿宋" w:hAnsi="仿宋" w:eastAsia="仿宋"/>
        </w:rPr>
        <w:t>按照中国重要农业文化遗产系列读本体例，</w:t>
      </w:r>
      <w:r>
        <w:rPr>
          <w:rFonts w:hint="eastAsia" w:ascii="仿宋" w:hAnsi="仿宋" w:eastAsia="仿宋"/>
        </w:rPr>
        <w:t>撰写</w:t>
      </w:r>
      <w:r>
        <w:rPr>
          <w:rFonts w:ascii="仿宋" w:hAnsi="仿宋" w:eastAsia="仿宋"/>
        </w:rPr>
        <w:t>巴旦</w:t>
      </w:r>
      <w:r>
        <w:rPr>
          <w:rFonts w:hint="eastAsia" w:ascii="仿宋" w:hAnsi="仿宋" w:eastAsia="仿宋"/>
          <w:lang w:eastAsia="zh-CN"/>
        </w:rPr>
        <w:t>姆</w:t>
      </w:r>
      <w:r>
        <w:rPr>
          <w:rFonts w:ascii="仿宋" w:hAnsi="仿宋" w:eastAsia="仿宋"/>
        </w:rPr>
        <w:t>栽培历史、传统农艺、品种资源、间作模式等</w:t>
      </w:r>
      <w:r>
        <w:rPr>
          <w:rFonts w:hint="eastAsia" w:ascii="仿宋" w:hAnsi="仿宋" w:eastAsia="仿宋"/>
        </w:rPr>
        <w:t>主要内容，填补莎车巴旦</w:t>
      </w:r>
      <w:r>
        <w:rPr>
          <w:rFonts w:hint="eastAsia" w:ascii="仿宋" w:hAnsi="仿宋" w:eastAsia="仿宋"/>
          <w:lang w:eastAsia="zh-CN"/>
        </w:rPr>
        <w:t>姆</w:t>
      </w:r>
      <w:r>
        <w:rPr>
          <w:rFonts w:hint="eastAsia" w:ascii="仿宋" w:hAnsi="仿宋" w:eastAsia="仿宋"/>
        </w:rPr>
        <w:t>农业文化遗产系统性记录的空白，读本将作为巴旦</w:t>
      </w:r>
      <w:r>
        <w:rPr>
          <w:rFonts w:hint="eastAsia" w:ascii="仿宋" w:hAnsi="仿宋" w:eastAsia="仿宋"/>
          <w:lang w:eastAsia="zh-CN"/>
        </w:rPr>
        <w:t>姆</w:t>
      </w:r>
      <w:r>
        <w:rPr>
          <w:rFonts w:hint="eastAsia" w:ascii="仿宋" w:hAnsi="仿宋" w:eastAsia="仿宋"/>
        </w:rPr>
        <w:t>交易中心、农业观光非遗示范区的基础文化素材。</w:t>
      </w:r>
    </w:p>
    <w:p>
      <w:pPr>
        <w:ind w:firstLine="688"/>
        <w:rPr>
          <w:rFonts w:hint="eastAsia" w:ascii="仿宋" w:hAnsi="仿宋" w:eastAsia="仿宋"/>
          <w:b/>
          <w:bCs/>
        </w:rPr>
      </w:pPr>
      <w:r>
        <w:rPr>
          <w:rFonts w:hint="eastAsia" w:ascii="仿宋" w:hAnsi="仿宋" w:eastAsia="仿宋"/>
          <w:b/>
          <w:bCs/>
        </w:rPr>
        <w:t>9.莎车县群众文化艺术活动保障服务项目（传承项目）</w:t>
      </w:r>
    </w:p>
    <w:p>
      <w:pPr>
        <w:ind w:firstLine="686"/>
        <w:rPr>
          <w:rFonts w:hint="eastAsia" w:ascii="仿宋" w:hAnsi="仿宋" w:eastAsia="仿宋"/>
        </w:rPr>
      </w:pPr>
      <w:r>
        <w:rPr>
          <w:rFonts w:hint="eastAsia" w:ascii="仿宋" w:hAnsi="仿宋" w:eastAsia="仿宋"/>
        </w:rPr>
        <w:t>项目由莎车县文化体育广播电视和旅游局牵头，县人民政府、县委组织部、县委宣传部、县公安局、县委网信办、县融媒体中心、阿热勒乡人民政府、十二</w:t>
      </w:r>
      <w:r>
        <w:rPr>
          <w:rFonts w:hint="eastAsia" w:ascii="仿宋" w:hAnsi="仿宋" w:eastAsia="仿宋"/>
          <w:lang w:eastAsia="zh-CN"/>
        </w:rPr>
        <w:t>姆</w:t>
      </w:r>
      <w:r>
        <w:rPr>
          <w:rFonts w:hint="eastAsia" w:ascii="仿宋" w:hAnsi="仿宋" w:eastAsia="仿宋"/>
        </w:rPr>
        <w:t>卡</w:t>
      </w:r>
      <w:r>
        <w:rPr>
          <w:rFonts w:hint="eastAsia" w:ascii="仿宋" w:hAnsi="仿宋" w:eastAsia="仿宋"/>
          <w:lang w:eastAsia="zh-CN"/>
        </w:rPr>
        <w:t>姆</w:t>
      </w:r>
      <w:r>
        <w:rPr>
          <w:rFonts w:hint="eastAsia" w:ascii="仿宋" w:hAnsi="仿宋" w:eastAsia="仿宋"/>
        </w:rPr>
        <w:t>歌舞团等单位配合，县旅游投资建设开发有限公司具体实施。依托财政资金计划投入50万元，项目实施期限为2026年。项目拟采购一批文艺活动相关服务，为莎车县开展群众文化艺术活动提供有力保障，丰富基层群众文化生活。</w:t>
      </w:r>
    </w:p>
    <w:p>
      <w:pPr>
        <w:ind w:firstLine="688"/>
        <w:rPr>
          <w:rFonts w:hint="eastAsia" w:ascii="仿宋" w:hAnsi="仿宋" w:eastAsia="仿宋"/>
          <w:b/>
          <w:bCs/>
        </w:rPr>
      </w:pPr>
      <w:r>
        <w:rPr>
          <w:rFonts w:hint="eastAsia" w:ascii="仿宋" w:hAnsi="仿宋" w:eastAsia="仿宋"/>
          <w:b/>
          <w:bCs/>
        </w:rPr>
        <w:t>10.莎车传统文化品牌建设项目（传承项目）</w:t>
      </w:r>
    </w:p>
    <w:p>
      <w:pPr>
        <w:ind w:firstLine="686"/>
        <w:rPr>
          <w:rFonts w:hint="eastAsia" w:ascii="仿宋" w:hAnsi="仿宋" w:eastAsia="仿宋"/>
        </w:rPr>
      </w:pPr>
      <w:r>
        <w:rPr>
          <w:rFonts w:hint="eastAsia" w:ascii="仿宋" w:hAnsi="仿宋" w:eastAsia="仿宋"/>
        </w:rPr>
        <w:t>项目由莎车县委宣传部牵头实施。依托援疆资金计划投入200万元，项目实施期限为2026-2027年。项目拟引进约10名上海优秀文化人才来莎开展文艺创作指导，加强本土文艺人才培养培训；组织开展“我们的节日”系列文体活动，挖掘培育10个“一乡一品”传统文化品牌；邀请国内知名主流媒体到莎车开展全媒体传播，系统提升莎车传统文化品牌影响力。</w:t>
      </w:r>
    </w:p>
    <w:p>
      <w:pPr>
        <w:ind w:firstLine="688"/>
        <w:rPr>
          <w:rFonts w:hint="eastAsia" w:ascii="仿宋" w:hAnsi="仿宋" w:eastAsia="仿宋"/>
          <w:b/>
          <w:bCs/>
        </w:rPr>
      </w:pPr>
      <w:r>
        <w:rPr>
          <w:rFonts w:hint="eastAsia" w:ascii="仿宋" w:hAnsi="仿宋" w:eastAsia="仿宋"/>
          <w:b/>
          <w:bCs/>
        </w:rPr>
        <w:t>11.莎车县阿热勒乡万亩巴旦</w:t>
      </w:r>
      <w:r>
        <w:rPr>
          <w:rFonts w:hint="eastAsia" w:ascii="仿宋" w:hAnsi="仿宋" w:eastAsia="仿宋"/>
          <w:b/>
          <w:bCs/>
          <w:lang w:eastAsia="zh-CN"/>
        </w:rPr>
        <w:t>姆</w:t>
      </w:r>
      <w:r>
        <w:rPr>
          <w:rFonts w:hint="eastAsia" w:ascii="仿宋" w:hAnsi="仿宋" w:eastAsia="仿宋"/>
          <w:b/>
          <w:bCs/>
        </w:rPr>
        <w:t>生态产业提质增效示范工程（发展项目）</w:t>
      </w:r>
    </w:p>
    <w:p>
      <w:pPr>
        <w:ind w:firstLine="686"/>
        <w:rPr>
          <w:rFonts w:hint="eastAsia" w:ascii="仿宋" w:hAnsi="仿宋" w:eastAsia="仿宋"/>
        </w:rPr>
      </w:pPr>
      <w:r>
        <w:rPr>
          <w:rFonts w:hint="eastAsia" w:ascii="仿宋" w:hAnsi="仿宋" w:eastAsia="仿宋"/>
        </w:rPr>
        <w:t>项目由莎车县阿热勒乡人民政府牵头，联合喀什锐森农业科技有限公司共同实施。依托社会资本（招商局慈善基金会）计划投入796万元，项目实施期限为1年（2025年底至2026年底）。项目拟建设1196亩巴旦</w:t>
      </w:r>
      <w:r>
        <w:rPr>
          <w:rFonts w:hint="eastAsia" w:ascii="仿宋" w:hAnsi="仿宋" w:eastAsia="仿宋"/>
          <w:lang w:eastAsia="zh-CN"/>
        </w:rPr>
        <w:t>姆</w:t>
      </w:r>
      <w:r>
        <w:rPr>
          <w:rFonts w:hint="eastAsia" w:ascii="仿宋" w:hAnsi="仿宋" w:eastAsia="仿宋"/>
        </w:rPr>
        <w:t>果园核心区，涵盖新技术示范园建设和老果园改造，示范推广矮化密植等现代种植技术，着力打造绿色生态示范园。</w:t>
      </w:r>
    </w:p>
    <w:p>
      <w:pPr>
        <w:ind w:firstLine="688"/>
        <w:rPr>
          <w:rFonts w:hint="eastAsia" w:ascii="仿宋" w:hAnsi="仿宋" w:eastAsia="仿宋"/>
          <w:b/>
          <w:bCs/>
        </w:rPr>
      </w:pPr>
      <w:r>
        <w:rPr>
          <w:rFonts w:hint="eastAsia" w:ascii="仿宋" w:hAnsi="仿宋" w:eastAsia="仿宋"/>
          <w:b/>
          <w:bCs/>
        </w:rPr>
        <w:t>12.莎车县巴旦</w:t>
      </w:r>
      <w:r>
        <w:rPr>
          <w:rFonts w:hint="eastAsia" w:ascii="仿宋" w:hAnsi="仿宋" w:eastAsia="仿宋"/>
          <w:b/>
          <w:bCs/>
          <w:lang w:eastAsia="zh-CN"/>
        </w:rPr>
        <w:t>姆</w:t>
      </w:r>
      <w:r>
        <w:rPr>
          <w:rFonts w:hint="eastAsia" w:ascii="仿宋" w:hAnsi="仿宋" w:eastAsia="仿宋"/>
          <w:b/>
          <w:bCs/>
        </w:rPr>
        <w:t>特色林果示范园建设项目（发展项目）</w:t>
      </w:r>
    </w:p>
    <w:p>
      <w:pPr>
        <w:ind w:firstLine="686"/>
        <w:rPr>
          <w:rFonts w:hint="eastAsia" w:ascii="仿宋" w:hAnsi="仿宋" w:eastAsia="仿宋"/>
        </w:rPr>
      </w:pPr>
      <w:r>
        <w:rPr>
          <w:rFonts w:hint="eastAsia" w:ascii="仿宋" w:hAnsi="仿宋" w:eastAsia="仿宋"/>
        </w:rPr>
        <w:t>项目由莎车县林业和草原局牵头，各乡镇参与，村集体股份经济合作社具体实施。依托衔接资金计划投入856万元，项目实施期限为2026-2028年。项目拟在村集体所有或置换的园地上开展新定植果园建设，对巴旦</w:t>
      </w:r>
      <w:r>
        <w:rPr>
          <w:rFonts w:hint="eastAsia" w:ascii="仿宋" w:hAnsi="仿宋" w:eastAsia="仿宋"/>
          <w:lang w:eastAsia="zh-CN"/>
        </w:rPr>
        <w:t>姆</w:t>
      </w:r>
      <w:r>
        <w:rPr>
          <w:rFonts w:hint="eastAsia" w:ascii="仿宋" w:hAnsi="仿宋" w:eastAsia="仿宋"/>
        </w:rPr>
        <w:t>、新梅、榅桲示范园建设按1200元/亩的标准给予补助，樱桃示范园建设按2500元/亩的标准给予补助。</w:t>
      </w:r>
    </w:p>
    <w:p>
      <w:pPr>
        <w:ind w:firstLine="688"/>
        <w:rPr>
          <w:rFonts w:hint="eastAsia" w:ascii="仿宋" w:hAnsi="仿宋" w:eastAsia="仿宋"/>
          <w:b/>
          <w:bCs/>
        </w:rPr>
      </w:pPr>
      <w:r>
        <w:rPr>
          <w:rFonts w:hint="eastAsia" w:ascii="仿宋" w:hAnsi="仿宋" w:eastAsia="仿宋"/>
          <w:b/>
          <w:bCs/>
        </w:rPr>
        <w:t>13.巴旦</w:t>
      </w:r>
      <w:r>
        <w:rPr>
          <w:rFonts w:hint="eastAsia" w:ascii="仿宋" w:hAnsi="仿宋" w:eastAsia="仿宋"/>
          <w:b/>
          <w:bCs/>
          <w:lang w:eastAsia="zh-CN"/>
        </w:rPr>
        <w:t>姆</w:t>
      </w:r>
      <w:r>
        <w:rPr>
          <w:rFonts w:hint="eastAsia" w:ascii="仿宋" w:hAnsi="仿宋" w:eastAsia="仿宋"/>
          <w:b/>
          <w:bCs/>
        </w:rPr>
        <w:t>特色林果示范园社会化服务推广项目（发展项目）</w:t>
      </w:r>
    </w:p>
    <w:p>
      <w:pPr>
        <w:ind w:firstLine="686"/>
        <w:rPr>
          <w:rFonts w:hint="eastAsia" w:ascii="仿宋" w:hAnsi="仿宋" w:eastAsia="仿宋"/>
        </w:rPr>
      </w:pPr>
      <w:r>
        <w:rPr>
          <w:rFonts w:hint="eastAsia" w:ascii="仿宋" w:hAnsi="仿宋" w:eastAsia="仿宋"/>
        </w:rPr>
        <w:t>项目由莎车县林业和草原局牵头，各乡镇参与，社会化服务机构具体实施。依托衔接资金计划投入2120万元，项目实施期限为2026-2028年。项目拟对全县29个乡镇13811亩以巴旦</w:t>
      </w:r>
      <w:r>
        <w:rPr>
          <w:rFonts w:hint="eastAsia" w:ascii="仿宋" w:hAnsi="仿宋" w:eastAsia="仿宋"/>
          <w:lang w:eastAsia="zh-CN"/>
        </w:rPr>
        <w:t>姆</w:t>
      </w:r>
      <w:r>
        <w:rPr>
          <w:rFonts w:hint="eastAsia" w:ascii="仿宋" w:hAnsi="仿宋" w:eastAsia="仿宋"/>
        </w:rPr>
        <w:t>为主的示范园，统一开展施肥、病虫害防治、整形修剪等标准化管理服务，提升示范园专业化管护水平。</w:t>
      </w:r>
    </w:p>
    <w:p>
      <w:pPr>
        <w:ind w:firstLine="688"/>
        <w:rPr>
          <w:rFonts w:hint="eastAsia" w:ascii="仿宋" w:hAnsi="仿宋" w:eastAsia="仿宋"/>
          <w:b/>
          <w:bCs/>
        </w:rPr>
      </w:pPr>
      <w:r>
        <w:rPr>
          <w:rFonts w:hint="eastAsia" w:ascii="仿宋" w:hAnsi="仿宋" w:eastAsia="仿宋"/>
          <w:b/>
          <w:bCs/>
        </w:rPr>
        <w:t>14.继续实施阿热勒巴旦</w:t>
      </w:r>
      <w:r>
        <w:rPr>
          <w:rFonts w:hint="eastAsia" w:ascii="仿宋" w:hAnsi="仿宋" w:eastAsia="仿宋"/>
          <w:b/>
          <w:bCs/>
          <w:lang w:eastAsia="zh-CN"/>
        </w:rPr>
        <w:t>姆</w:t>
      </w:r>
      <w:r>
        <w:rPr>
          <w:rFonts w:hint="eastAsia" w:ascii="仿宋" w:hAnsi="仿宋" w:eastAsia="仿宋"/>
          <w:b/>
          <w:bCs/>
        </w:rPr>
        <w:t>特色小镇建设（发展项目）</w:t>
      </w:r>
    </w:p>
    <w:p>
      <w:pPr>
        <w:ind w:firstLine="686"/>
        <w:rPr>
          <w:rFonts w:hint="eastAsia" w:ascii="仿宋" w:hAnsi="仿宋" w:eastAsia="仿宋"/>
          <w:b/>
          <w:bCs/>
        </w:rPr>
      </w:pPr>
      <w:r>
        <w:rPr>
          <w:rFonts w:hint="eastAsia" w:ascii="仿宋" w:hAnsi="仿宋" w:eastAsia="仿宋"/>
        </w:rPr>
        <w:t>项目由阿热勒乡人民政府牵头实施。依托援疆资金计划投入2120万元，项目实施期限为2026-2028年。项目拟对万亩巴旦</w:t>
      </w:r>
      <w:r>
        <w:rPr>
          <w:rFonts w:hint="eastAsia" w:ascii="仿宋" w:hAnsi="仿宋" w:eastAsia="仿宋"/>
          <w:lang w:eastAsia="zh-CN"/>
        </w:rPr>
        <w:t>姆</w:t>
      </w:r>
      <w:r>
        <w:rPr>
          <w:rFonts w:hint="eastAsia" w:ascii="仿宋" w:hAnsi="仿宋" w:eastAsia="仿宋"/>
        </w:rPr>
        <w:t>基地持续开展提质增效及技术培训，建设工厂化循环水产养殖基地、巴旦</w:t>
      </w:r>
      <w:r>
        <w:rPr>
          <w:rFonts w:hint="eastAsia" w:ascii="仿宋" w:hAnsi="仿宋" w:eastAsia="仿宋"/>
          <w:lang w:eastAsia="zh-CN"/>
        </w:rPr>
        <w:t>姆</w:t>
      </w:r>
      <w:r>
        <w:rPr>
          <w:rFonts w:hint="eastAsia" w:ascii="仿宋" w:hAnsi="仿宋" w:eastAsia="仿宋"/>
        </w:rPr>
        <w:t>交易中心，打造农业观光非遗示范区，改造提升900平方米村级文化阵地，推动特色小镇产业、文化与旅游深度融合。</w:t>
      </w:r>
    </w:p>
    <w:p>
      <w:pPr>
        <w:pStyle w:val="2"/>
        <w:rPr>
          <w:color w:val="auto"/>
        </w:rPr>
      </w:pPr>
      <w:bookmarkStart w:id="9" w:name="_Toc224309332"/>
      <w:r>
        <w:rPr>
          <w:rFonts w:hint="eastAsia"/>
          <w:color w:val="auto"/>
        </w:rPr>
        <w:t>三、政策支持措施</w:t>
      </w:r>
      <w:bookmarkEnd w:id="9"/>
    </w:p>
    <w:p>
      <w:pPr>
        <w:ind w:firstLine="686"/>
        <w:rPr>
          <w:rFonts w:hint="eastAsia" w:ascii="仿宋" w:hAnsi="仿宋" w:eastAsia="仿宋"/>
        </w:rPr>
      </w:pPr>
      <w:r>
        <w:rPr>
          <w:rFonts w:hint="eastAsia" w:ascii="仿宋" w:hAnsi="仿宋" w:eastAsia="仿宋"/>
        </w:rPr>
        <w:t>自2013年以来，联合国内高校及科研院所，相继制定并发布了《莎车巴旦</w:t>
      </w:r>
      <w:r>
        <w:rPr>
          <w:rFonts w:hint="eastAsia" w:ascii="仿宋" w:hAnsi="仿宋" w:eastAsia="仿宋"/>
          <w:lang w:eastAsia="zh-CN"/>
        </w:rPr>
        <w:t>姆</w:t>
      </w:r>
      <w:r>
        <w:rPr>
          <w:rFonts w:hint="eastAsia" w:ascii="仿宋" w:hAnsi="仿宋" w:eastAsia="仿宋"/>
        </w:rPr>
        <w:t>苗</w:t>
      </w:r>
      <w:r>
        <w:rPr>
          <w:rFonts w:hint="eastAsia" w:ascii="仿宋" w:hAnsi="仿宋" w:eastAsia="仿宋"/>
          <w:lang w:val="en-US" w:eastAsia="zh-CN"/>
        </w:rPr>
        <w:t>木</w:t>
      </w:r>
      <w:r>
        <w:rPr>
          <w:rFonts w:hint="eastAsia" w:ascii="仿宋" w:hAnsi="仿宋" w:eastAsia="仿宋"/>
        </w:rPr>
        <w:t>繁育技术规程》《莎车巴旦</w:t>
      </w:r>
      <w:r>
        <w:rPr>
          <w:rFonts w:hint="eastAsia" w:ascii="仿宋" w:hAnsi="仿宋" w:eastAsia="仿宋"/>
          <w:lang w:eastAsia="zh-CN"/>
        </w:rPr>
        <w:t>姆</w:t>
      </w:r>
      <w:r>
        <w:rPr>
          <w:rFonts w:hint="eastAsia" w:ascii="仿宋" w:hAnsi="仿宋" w:eastAsia="仿宋"/>
        </w:rPr>
        <w:t>农林间作技术规程》《特色林果 巴旦</w:t>
      </w:r>
      <w:r>
        <w:rPr>
          <w:rFonts w:hint="eastAsia" w:ascii="仿宋" w:hAnsi="仿宋" w:eastAsia="仿宋"/>
          <w:lang w:eastAsia="zh-CN"/>
        </w:rPr>
        <w:t>姆</w:t>
      </w:r>
      <w:r>
        <w:rPr>
          <w:rFonts w:hint="eastAsia" w:ascii="仿宋" w:hAnsi="仿宋" w:eastAsia="仿宋"/>
        </w:rPr>
        <w:t>绿色生产技术规范》《莎车巴旦</w:t>
      </w:r>
      <w:r>
        <w:rPr>
          <w:rFonts w:hint="eastAsia" w:ascii="仿宋" w:hAnsi="仿宋" w:eastAsia="仿宋"/>
          <w:lang w:eastAsia="zh-CN"/>
        </w:rPr>
        <w:t>姆</w:t>
      </w:r>
      <w:r>
        <w:rPr>
          <w:rFonts w:hint="eastAsia" w:ascii="仿宋" w:hAnsi="仿宋" w:eastAsia="仿宋"/>
        </w:rPr>
        <w:t>初加工技术要求》《莎车巴旦</w:t>
      </w:r>
      <w:r>
        <w:rPr>
          <w:rFonts w:hint="eastAsia" w:ascii="仿宋" w:hAnsi="仿宋" w:eastAsia="仿宋"/>
          <w:lang w:eastAsia="zh-CN"/>
        </w:rPr>
        <w:t>姆</w:t>
      </w:r>
      <w:r>
        <w:rPr>
          <w:rFonts w:hint="eastAsia" w:ascii="仿宋" w:hAnsi="仿宋" w:eastAsia="仿宋"/>
        </w:rPr>
        <w:t>病虫害综合防治技术规程》等一系列地方标准（参见附件5），为莎车巴旦</w:t>
      </w:r>
      <w:r>
        <w:rPr>
          <w:rFonts w:hint="eastAsia" w:ascii="仿宋" w:hAnsi="仿宋" w:eastAsia="仿宋"/>
          <w:lang w:eastAsia="zh-CN"/>
        </w:rPr>
        <w:t>姆</w:t>
      </w:r>
      <w:r>
        <w:rPr>
          <w:rFonts w:hint="eastAsia" w:ascii="仿宋" w:hAnsi="仿宋" w:eastAsia="仿宋"/>
        </w:rPr>
        <w:t>栽培系统科学保护与可持续利用提供了有力支撑。未来三年，我县将严格遵循农业农村部出台的《重要农业文化遗产管理办法》等上级法规政策要求，计划新制定出台《莎车县巴旦</w:t>
      </w:r>
      <w:r>
        <w:rPr>
          <w:rFonts w:hint="eastAsia" w:ascii="仿宋" w:hAnsi="仿宋" w:eastAsia="仿宋"/>
          <w:lang w:eastAsia="zh-CN"/>
        </w:rPr>
        <w:t>姆</w:t>
      </w:r>
      <w:r>
        <w:rPr>
          <w:rFonts w:hint="eastAsia" w:ascii="仿宋" w:hAnsi="仿宋" w:eastAsia="仿宋"/>
        </w:rPr>
        <w:t>栽培系统管理办法》（参见附件6）。</w:t>
      </w:r>
    </w:p>
    <w:p>
      <w:pPr>
        <w:ind w:firstLine="686"/>
        <w:rPr>
          <w:rFonts w:hint="eastAsia" w:ascii="仿宋" w:hAnsi="仿宋" w:eastAsia="仿宋"/>
        </w:rPr>
      </w:pPr>
      <w:r>
        <w:rPr>
          <w:rFonts w:hint="eastAsia" w:ascii="仿宋" w:hAnsi="仿宋" w:eastAsia="仿宋"/>
        </w:rPr>
        <w:t>拟出台的《莎车县巴旦</w:t>
      </w:r>
      <w:r>
        <w:rPr>
          <w:rFonts w:hint="eastAsia" w:ascii="仿宋" w:hAnsi="仿宋" w:eastAsia="仿宋"/>
          <w:lang w:eastAsia="zh-CN"/>
        </w:rPr>
        <w:t>姆</w:t>
      </w:r>
      <w:r>
        <w:rPr>
          <w:rFonts w:hint="eastAsia" w:ascii="仿宋" w:hAnsi="仿宋" w:eastAsia="仿宋"/>
        </w:rPr>
        <w:t>栽培系统管理办法》将围绕巴旦</w:t>
      </w:r>
      <w:r>
        <w:rPr>
          <w:rFonts w:hint="eastAsia" w:ascii="仿宋" w:hAnsi="仿宋" w:eastAsia="仿宋"/>
          <w:lang w:eastAsia="zh-CN"/>
        </w:rPr>
        <w:t>姆</w:t>
      </w:r>
      <w:r>
        <w:rPr>
          <w:rFonts w:hint="eastAsia" w:ascii="仿宋" w:hAnsi="仿宋" w:eastAsia="仿宋"/>
        </w:rPr>
        <w:t>栽培的保护、传承与发展，进一步明确县、</w:t>
      </w:r>
      <w:r>
        <w:rPr>
          <w:rFonts w:hint="eastAsia" w:ascii="仿宋" w:hAnsi="仿宋" w:eastAsia="仿宋"/>
          <w:lang w:val="en-US" w:eastAsia="zh-CN"/>
        </w:rPr>
        <w:t>乡</w:t>
      </w:r>
      <w:r>
        <w:rPr>
          <w:rFonts w:hint="eastAsia" w:ascii="仿宋" w:hAnsi="仿宋" w:eastAsia="仿宋"/>
        </w:rPr>
        <w:t>镇（街道）、村三级行政单位以及经营主体、社会公众等相关方的保护权责边界，划定保护红线和开发管控范围，细化各类开发利用行为的具体要求，建立健全奖惩机制。同时，办法将推动建立由县林业和草原局</w:t>
      </w:r>
      <w:r>
        <w:rPr>
          <w:rFonts w:hint="eastAsia" w:ascii="仿宋" w:hAnsi="仿宋" w:eastAsia="仿宋"/>
          <w:lang w:eastAsia="zh-CN"/>
        </w:rPr>
        <w:t>、</w:t>
      </w:r>
      <w:r>
        <w:rPr>
          <w:rFonts w:hint="eastAsia" w:ascii="仿宋" w:hAnsi="仿宋" w:eastAsia="仿宋"/>
          <w:lang w:val="en-US" w:eastAsia="zh-CN"/>
        </w:rPr>
        <w:t>县司法局</w:t>
      </w:r>
      <w:r>
        <w:rPr>
          <w:rFonts w:hint="eastAsia" w:ascii="仿宋" w:hAnsi="仿宋" w:eastAsia="仿宋"/>
        </w:rPr>
        <w:t>牵头负责的巴旦</w:t>
      </w:r>
      <w:r>
        <w:rPr>
          <w:rFonts w:hint="eastAsia" w:ascii="仿宋" w:hAnsi="仿宋" w:eastAsia="仿宋"/>
          <w:lang w:eastAsia="zh-CN"/>
        </w:rPr>
        <w:t>姆</w:t>
      </w:r>
      <w:r>
        <w:rPr>
          <w:rFonts w:hint="eastAsia" w:ascii="仿宋" w:hAnsi="仿宋" w:eastAsia="仿宋"/>
        </w:rPr>
        <w:t>栽培系统保护管理联席会议机制，明确议事协调流程，统筹解决实</w:t>
      </w:r>
      <w:r>
        <w:rPr>
          <w:rFonts w:ascii="仿宋" w:hAnsi="仿宋" w:eastAsia="仿宋"/>
        </w:rPr>
        <w:t>施过程中跨部门、跨区域的突出问题。此外，办法还将配套建立由</w:t>
      </w:r>
      <w:r>
        <w:rPr>
          <w:rFonts w:hint="eastAsia" w:ascii="仿宋" w:hAnsi="仿宋" w:eastAsia="仿宋"/>
        </w:rPr>
        <w:t>县林业和草原局</w:t>
      </w:r>
      <w:r>
        <w:rPr>
          <w:rFonts w:hint="eastAsia" w:ascii="仿宋" w:hAnsi="仿宋" w:eastAsia="仿宋"/>
          <w:lang w:eastAsia="zh-CN"/>
        </w:rPr>
        <w:t>、</w:t>
      </w:r>
      <w:r>
        <w:rPr>
          <w:rFonts w:hint="eastAsia" w:ascii="仿宋" w:hAnsi="仿宋" w:eastAsia="仿宋"/>
          <w:lang w:val="en-US" w:eastAsia="zh-CN"/>
        </w:rPr>
        <w:t>县司法局</w:t>
      </w:r>
      <w:r>
        <w:rPr>
          <w:rFonts w:ascii="仿宋" w:hAnsi="仿宋" w:eastAsia="仿宋"/>
        </w:rPr>
        <w:t>牵头的</w:t>
      </w:r>
      <w:r>
        <w:rPr>
          <w:rFonts w:hint="eastAsia" w:ascii="仿宋" w:hAnsi="仿宋" w:eastAsia="仿宋"/>
        </w:rPr>
        <w:t>巴旦</w:t>
      </w:r>
      <w:r>
        <w:rPr>
          <w:rFonts w:hint="eastAsia" w:ascii="仿宋" w:hAnsi="仿宋" w:eastAsia="仿宋"/>
          <w:lang w:eastAsia="zh-CN"/>
        </w:rPr>
        <w:t>姆</w:t>
      </w:r>
      <w:r>
        <w:rPr>
          <w:rFonts w:hint="eastAsia" w:ascii="仿宋" w:hAnsi="仿宋" w:eastAsia="仿宋"/>
        </w:rPr>
        <w:t>栽培系统</w:t>
      </w:r>
      <w:r>
        <w:rPr>
          <w:rFonts w:ascii="仿宋" w:hAnsi="仿宋" w:eastAsia="仿宋"/>
        </w:rPr>
        <w:t>保护管理联席工作机制，组织专家和行业代表每年对实施成效和执行情况开展全面评估并形成评估报告，依据评估结果动态调整和完善相关条款及管理措施，以适应实际发展需求。</w:t>
      </w:r>
    </w:p>
    <w:p>
      <w:pPr>
        <w:ind w:firstLine="686"/>
        <w:rPr>
          <w:rFonts w:hint="eastAsia" w:ascii="仿宋" w:hAnsi="仿宋" w:eastAsia="仿宋"/>
          <w:szCs w:val="32"/>
        </w:rPr>
      </w:pPr>
      <w:r>
        <w:rPr>
          <w:rFonts w:hint="eastAsia" w:ascii="仿宋" w:hAnsi="仿宋" w:eastAsia="仿宋"/>
          <w:szCs w:val="32"/>
        </w:rPr>
        <w:t>本行动计划编制人员名单参见附件</w:t>
      </w:r>
      <w:r>
        <w:rPr>
          <w:rFonts w:ascii="仿宋" w:hAnsi="仿宋" w:eastAsia="仿宋"/>
          <w:szCs w:val="32"/>
        </w:rPr>
        <w:t>7</w:t>
      </w:r>
      <w:r>
        <w:rPr>
          <w:rFonts w:hint="eastAsia" w:ascii="仿宋" w:hAnsi="仿宋" w:eastAsia="仿宋"/>
          <w:szCs w:val="32"/>
        </w:rPr>
        <w:t>。</w:t>
      </w:r>
    </w:p>
    <w:p>
      <w:pPr>
        <w:ind w:firstLine="686"/>
        <w:rPr>
          <w:rFonts w:hint="eastAsia" w:ascii="仿宋" w:hAnsi="仿宋" w:eastAsia="仿宋"/>
          <w:szCs w:val="32"/>
        </w:rPr>
      </w:pPr>
      <w:r>
        <w:rPr>
          <w:rFonts w:hint="eastAsia" w:ascii="仿宋" w:hAnsi="仿宋" w:eastAsia="仿宋"/>
          <w:szCs w:val="32"/>
        </w:rPr>
        <w:t>本行动计划具体落实的责任分工参见附件</w:t>
      </w:r>
      <w:r>
        <w:rPr>
          <w:rFonts w:ascii="仿宋" w:hAnsi="仿宋" w:eastAsia="仿宋"/>
          <w:szCs w:val="32"/>
        </w:rPr>
        <w:t>8</w:t>
      </w:r>
      <w:r>
        <w:rPr>
          <w:rFonts w:hint="eastAsia" w:ascii="仿宋" w:hAnsi="仿宋" w:eastAsia="仿宋"/>
          <w:szCs w:val="32"/>
        </w:rPr>
        <w:t>。</w:t>
      </w:r>
    </w:p>
    <w:p>
      <w:pPr>
        <w:ind w:firstLine="686"/>
        <w:rPr>
          <w:rFonts w:hint="eastAsia" w:ascii="仿宋" w:hAnsi="仿宋" w:eastAsia="仿宋"/>
        </w:rPr>
      </w:pPr>
    </w:p>
    <w:p>
      <w:pPr>
        <w:ind w:firstLine="686"/>
        <w:rPr>
          <w:rFonts w:hint="eastAsia" w:ascii="仿宋" w:hAnsi="仿宋" w:eastAsia="仿宋"/>
        </w:rPr>
        <w:sectPr>
          <w:footerReference r:id="rId10" w:type="default"/>
          <w:headerReference r:id="rId9" w:type="even"/>
          <w:footerReference r:id="rId11" w:type="even"/>
          <w:pgSz w:w="11906" w:h="16838"/>
          <w:pgMar w:top="1985" w:right="1418" w:bottom="1701" w:left="1418" w:header="851" w:footer="992" w:gutter="0"/>
          <w:cols w:space="425" w:num="1"/>
          <w:docGrid w:type="linesAndChars" w:linePitch="386" w:charSpace="4710"/>
        </w:sectPr>
      </w:pPr>
    </w:p>
    <w:p>
      <w:pPr>
        <w:pStyle w:val="2"/>
        <w:rPr>
          <w:color w:val="auto"/>
        </w:rPr>
      </w:pPr>
      <w:bookmarkStart w:id="10" w:name="_Toc224309333"/>
      <w:r>
        <w:rPr>
          <w:rFonts w:hint="eastAsia"/>
          <w:color w:val="auto"/>
        </w:rPr>
        <w:t>四、附件</w:t>
      </w:r>
      <w:bookmarkEnd w:id="10"/>
    </w:p>
    <w:p>
      <w:pPr>
        <w:spacing w:line="500" w:lineRule="exact"/>
        <w:ind w:firstLine="0" w:firstLineChars="0"/>
        <w:outlineLvl w:val="1"/>
        <w:rPr>
          <w:rFonts w:eastAsia="黑体" w:cs="Times New Roman"/>
          <w:sz w:val="30"/>
          <w:szCs w:val="30"/>
        </w:rPr>
      </w:pPr>
      <w:bookmarkStart w:id="11" w:name="_Toc224309334"/>
      <w:r>
        <w:rPr>
          <w:rFonts w:hint="eastAsia" w:eastAsia="黑体" w:cs="Times New Roman"/>
          <w:sz w:val="30"/>
          <w:szCs w:val="30"/>
        </w:rPr>
        <w:t>附件1</w:t>
      </w:r>
      <w:bookmarkEnd w:id="11"/>
    </w:p>
    <w:p>
      <w:pPr>
        <w:spacing w:after="217" w:afterLines="50" w:line="500" w:lineRule="exact"/>
        <w:ind w:firstLine="0" w:firstLineChars="0"/>
        <w:jc w:val="center"/>
        <w:rPr>
          <w:rFonts w:hint="eastAsia" w:ascii="仿宋" w:hAnsi="仿宋" w:eastAsia="仿宋" w:cs="华文中宋"/>
          <w:b/>
          <w:bCs/>
          <w:sz w:val="36"/>
          <w:szCs w:val="36"/>
        </w:rPr>
      </w:pPr>
      <w:r>
        <w:rPr>
          <w:rFonts w:hint="eastAsia" w:ascii="仿宋" w:hAnsi="仿宋" w:eastAsia="仿宋" w:cs="华文中宋"/>
          <w:b/>
          <w:bCs/>
          <w:sz w:val="36"/>
          <w:szCs w:val="36"/>
        </w:rPr>
        <w:t>核心保护区域基本情况表</w:t>
      </w:r>
    </w:p>
    <w:tbl>
      <w:tblPr>
        <w:tblStyle w:val="5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129" w:type="dxa"/>
            <w:vAlign w:val="center"/>
          </w:tcPr>
          <w:p>
            <w:pPr>
              <w:spacing w:line="500" w:lineRule="exact"/>
              <w:ind w:firstLine="0" w:firstLineChars="0"/>
              <w:jc w:val="center"/>
              <w:rPr>
                <w:rFonts w:hint="eastAsia" w:ascii="仿宋" w:hAnsi="仿宋" w:eastAsia="仿宋" w:cs="黑体"/>
                <w:b/>
                <w:kern w:val="0"/>
                <w:sz w:val="28"/>
                <w:szCs w:val="28"/>
              </w:rPr>
            </w:pPr>
            <w:r>
              <w:rPr>
                <w:rFonts w:hint="eastAsia" w:ascii="仿宋" w:hAnsi="仿宋" w:eastAsia="仿宋" w:cs="黑体"/>
                <w:b/>
                <w:kern w:val="0"/>
                <w:sz w:val="28"/>
                <w:szCs w:val="28"/>
              </w:rPr>
              <w:t>区域面积情况</w:t>
            </w:r>
          </w:p>
        </w:tc>
        <w:tc>
          <w:tcPr>
            <w:tcW w:w="7393"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新疆莎车巴旦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栽培系统核心保护区总面积63.0平方公里，呈带状分布于叶尔羌河沿岸冲积平原，涵盖阿热勒乡、阿瓦提镇、塔尕尔其镇的5个行政村及1个国有林场（二林场），共6个行政单位。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500" w:lineRule="exact"/>
              <w:ind w:firstLine="0" w:firstLineChars="0"/>
              <w:jc w:val="center"/>
              <w:rPr>
                <w:rFonts w:hint="eastAsia" w:ascii="仿宋" w:hAnsi="仿宋" w:eastAsia="仿宋" w:cs="Times New Roman"/>
                <w:b/>
                <w:kern w:val="0"/>
                <w:sz w:val="28"/>
                <w:szCs w:val="28"/>
              </w:rPr>
            </w:pPr>
            <w:r>
              <w:rPr>
                <w:rFonts w:hint="eastAsia" w:ascii="仿宋" w:hAnsi="仿宋" w:eastAsia="仿宋" w:cs="黑体"/>
                <w:b/>
                <w:kern w:val="0"/>
                <w:sz w:val="28"/>
                <w:szCs w:val="28"/>
              </w:rPr>
              <w:t>区域交通条件</w:t>
            </w:r>
          </w:p>
        </w:tc>
        <w:tc>
          <w:tcPr>
            <w:tcW w:w="7393"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莎车县地处喀什地区东部，315国道、215省道、喀和铁路、喀和高速、三莎高速交汇贯通，形成立体交通网络。距喀什机场200公里（高速公路2.5小时车程），县内叶尔羌机场为4C级支线机场，距县城25公里（高速30分钟车程）。核心保护区各村均有硬化道路与县域干线衔接，整体交通便利。其中，阿热勒乡两村地处城郊，至县城仅20分钟；二林场、库吾其村经乡道或217国道至县城约40分钟；阿瓦提镇两村距县城相对较远，车程50-70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500" w:lineRule="exact"/>
              <w:ind w:firstLine="0" w:firstLineChars="0"/>
              <w:jc w:val="center"/>
              <w:rPr>
                <w:rFonts w:hint="eastAsia" w:ascii="仿宋" w:hAnsi="仿宋" w:eastAsia="仿宋" w:cs="黑体"/>
                <w:b/>
                <w:kern w:val="0"/>
                <w:sz w:val="28"/>
                <w:szCs w:val="28"/>
              </w:rPr>
            </w:pPr>
            <w:r>
              <w:rPr>
                <w:rFonts w:hint="eastAsia" w:ascii="仿宋" w:hAnsi="仿宋" w:eastAsia="仿宋" w:cs="黑体"/>
                <w:b/>
                <w:kern w:val="0"/>
                <w:sz w:val="28"/>
                <w:szCs w:val="28"/>
              </w:rPr>
              <w:t>人口民族统计</w:t>
            </w:r>
          </w:p>
        </w:tc>
        <w:tc>
          <w:tcPr>
            <w:tcW w:w="7393"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五个行政村、一个国有林场的总人口为8484人，以维吾尔族民族为主，占到总人口的99%以上。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500" w:lineRule="exact"/>
              <w:ind w:firstLine="0" w:firstLineChars="0"/>
              <w:jc w:val="center"/>
              <w:rPr>
                <w:rFonts w:hint="eastAsia" w:ascii="仿宋" w:hAnsi="仿宋" w:eastAsia="仿宋" w:cs="黑体"/>
                <w:b/>
                <w:kern w:val="0"/>
                <w:sz w:val="28"/>
                <w:szCs w:val="28"/>
              </w:rPr>
            </w:pPr>
            <w:r>
              <w:rPr>
                <w:rFonts w:hint="eastAsia" w:ascii="仿宋" w:hAnsi="仿宋" w:eastAsia="仿宋" w:cs="黑体"/>
                <w:b/>
                <w:kern w:val="0"/>
                <w:sz w:val="28"/>
                <w:szCs w:val="28"/>
              </w:rPr>
              <w:t>地形气候特征</w:t>
            </w:r>
          </w:p>
        </w:tc>
        <w:tc>
          <w:tcPr>
            <w:tcW w:w="7393"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保护区地处昆仑山北麓、塔里</w:t>
            </w:r>
            <w:r>
              <w:rPr>
                <w:rFonts w:hint="eastAsia" w:ascii="仿宋" w:hAnsi="仿宋" w:eastAsia="仿宋" w:cs="方正仿宋_GB2312"/>
                <w:kern w:val="0"/>
                <w:sz w:val="28"/>
                <w:szCs w:val="28"/>
                <w:lang w:val="en-US" w:eastAsia="zh-CN"/>
              </w:rPr>
              <w:t>木</w:t>
            </w:r>
            <w:r>
              <w:rPr>
                <w:rFonts w:hint="eastAsia" w:ascii="仿宋" w:hAnsi="仿宋" w:eastAsia="仿宋" w:cs="方正仿宋_GB2312"/>
                <w:kern w:val="0"/>
                <w:sz w:val="28"/>
                <w:szCs w:val="28"/>
              </w:rPr>
              <w:t>盆地南缘，平均海拔1231.2米。属暖温带大陆性气候，年均降水56.6毫米，光照充足，极适宜巴旦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喜光耐旱特性；毗邻叶尔羌河，灌溉水源丰富，灌淤土质适合粮果间作，为巴旦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与小麦、蔬菜、中药材复合种植提供优良条件。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500" w:lineRule="exact"/>
              <w:ind w:firstLine="0" w:firstLineChars="0"/>
              <w:jc w:val="center"/>
              <w:rPr>
                <w:rFonts w:hint="eastAsia" w:ascii="仿宋" w:hAnsi="仿宋" w:eastAsia="仿宋" w:cs="黑体"/>
                <w:b/>
                <w:kern w:val="0"/>
                <w:sz w:val="28"/>
                <w:szCs w:val="28"/>
              </w:rPr>
            </w:pPr>
            <w:r>
              <w:rPr>
                <w:rFonts w:hint="eastAsia" w:ascii="仿宋" w:hAnsi="仿宋" w:eastAsia="仿宋" w:cs="黑体"/>
                <w:b/>
                <w:kern w:val="0"/>
                <w:sz w:val="28"/>
                <w:szCs w:val="28"/>
              </w:rPr>
              <w:t>产业发展基础</w:t>
            </w:r>
          </w:p>
        </w:tc>
        <w:tc>
          <w:tcPr>
            <w:tcW w:w="7393"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依托莎车县“中国巴旦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之乡”30余万亩种植规模，核心区形成“一核主导、多元融合”的发展格局：阿热勒乡（巴依都维村、阿孜干巴格村）为产业核心区，深度推进农旅融合。阿孜干巴格村“巴旦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之乡”景区每年清明花海接待游客超万人次，带动蜂蜜、餐饮等业态发展，农户花期日均收入逾500元。阿瓦提镇（阔纳阿日希村、库</w:t>
            </w:r>
            <w:r>
              <w:rPr>
                <w:rFonts w:hint="eastAsia" w:ascii="仿宋" w:hAnsi="仿宋" w:eastAsia="仿宋" w:cs="方正仿宋_GB2312"/>
                <w:kern w:val="0"/>
                <w:sz w:val="28"/>
                <w:szCs w:val="28"/>
                <w:lang w:val="en-US" w:eastAsia="zh-CN"/>
              </w:rPr>
              <w:t>木</w:t>
            </w:r>
            <w:r>
              <w:rPr>
                <w:rFonts w:hint="eastAsia" w:ascii="仿宋" w:hAnsi="仿宋" w:eastAsia="仿宋" w:cs="方正仿宋_GB2312"/>
                <w:kern w:val="0"/>
                <w:sz w:val="28"/>
                <w:szCs w:val="28"/>
              </w:rPr>
              <w:t>库勒村）推行种养结合，鸽子养殖从50羽起步发展至3000羽，规划扩至3万羽，培育增收新增长极。塔尕尔其镇库吾其村发展向日葵1100亩，形成“花海经济+油料加工”链条。二林场作为国有林场，专注巴旦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技术研发，系统开展品种辨识、水肥管理、气象融合等关键技术攻关，为全县巴旦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产业提质提供科技支撑。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500" w:lineRule="exact"/>
              <w:ind w:firstLine="0" w:firstLineChars="0"/>
              <w:jc w:val="center"/>
              <w:rPr>
                <w:rFonts w:hint="eastAsia" w:ascii="仿宋" w:hAnsi="仿宋" w:eastAsia="仿宋" w:cs="黑体"/>
                <w:b/>
                <w:kern w:val="0"/>
                <w:sz w:val="28"/>
                <w:szCs w:val="28"/>
              </w:rPr>
            </w:pPr>
            <w:r>
              <w:rPr>
                <w:rFonts w:hint="eastAsia" w:ascii="仿宋" w:hAnsi="仿宋" w:eastAsia="仿宋" w:cs="黑体"/>
                <w:b/>
                <w:kern w:val="0"/>
                <w:sz w:val="28"/>
                <w:szCs w:val="28"/>
              </w:rPr>
              <w:t>农民收入情况</w:t>
            </w:r>
          </w:p>
        </w:tc>
        <w:tc>
          <w:tcPr>
            <w:tcW w:w="7393"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核心区农民人均年收入1.8万-2.4万元，显著高于全县农村居民人均可支配收入（2024年13426元）。其中，巴依都维村（2.4万元）、库</w:t>
            </w:r>
            <w:r>
              <w:rPr>
                <w:rFonts w:hint="eastAsia" w:ascii="仿宋" w:hAnsi="仿宋" w:eastAsia="仿宋" w:cs="方正仿宋_GB2312"/>
                <w:kern w:val="0"/>
                <w:sz w:val="28"/>
                <w:szCs w:val="28"/>
                <w:lang w:val="en-US" w:eastAsia="zh-CN"/>
              </w:rPr>
              <w:t>木</w:t>
            </w:r>
            <w:r>
              <w:rPr>
                <w:rFonts w:hint="eastAsia" w:ascii="仿宋" w:hAnsi="仿宋" w:eastAsia="仿宋" w:cs="方正仿宋_GB2312"/>
                <w:kern w:val="0"/>
                <w:sz w:val="28"/>
                <w:szCs w:val="28"/>
              </w:rPr>
              <w:t>库勒村（2.1万元）居前列，阔纳阿日希村、库吾其村均为2万元，阿孜干巴格村1.9万元。数据表明，巴旦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产业对农民增收贡献突出，是核心区乡村振兴的主导力量。</w:t>
            </w:r>
          </w:p>
        </w:tc>
      </w:tr>
    </w:tbl>
    <w:p>
      <w:pPr>
        <w:ind w:firstLine="686"/>
      </w:pPr>
    </w:p>
    <w:p>
      <w:pPr>
        <w:widowControl/>
        <w:spacing w:line="240" w:lineRule="auto"/>
        <w:ind w:firstLine="0" w:firstLineChars="0"/>
        <w:jc w:val="left"/>
        <w:rPr>
          <w:rFonts w:eastAsia="黑体" w:cs="Times New Roman"/>
          <w:sz w:val="30"/>
          <w:szCs w:val="30"/>
        </w:rPr>
      </w:pPr>
      <w:r>
        <w:rPr>
          <w:rFonts w:eastAsia="黑体" w:cs="Times New Roman"/>
          <w:sz w:val="30"/>
          <w:szCs w:val="30"/>
        </w:rPr>
        <w:br w:type="page"/>
      </w:r>
    </w:p>
    <w:p>
      <w:pPr>
        <w:spacing w:line="500" w:lineRule="exact"/>
        <w:ind w:firstLine="0" w:firstLineChars="0"/>
        <w:outlineLvl w:val="1"/>
        <w:rPr>
          <w:rFonts w:eastAsia="黑体" w:cs="Times New Roman"/>
          <w:sz w:val="30"/>
          <w:szCs w:val="30"/>
        </w:rPr>
      </w:pPr>
      <w:bookmarkStart w:id="12" w:name="_Toc224309335"/>
      <w:bookmarkStart w:id="13" w:name="_Toc223099632"/>
      <w:r>
        <w:rPr>
          <w:rFonts w:hint="eastAsia" w:eastAsia="黑体" w:cs="Times New Roman"/>
          <w:sz w:val="30"/>
          <w:szCs w:val="30"/>
        </w:rPr>
        <w:t>附件2</w:t>
      </w:r>
      <w:bookmarkEnd w:id="12"/>
      <w:bookmarkEnd w:id="13"/>
    </w:p>
    <w:p>
      <w:pPr>
        <w:spacing w:after="217" w:afterLines="50" w:line="500" w:lineRule="exact"/>
        <w:ind w:firstLine="0" w:firstLineChars="0"/>
        <w:jc w:val="center"/>
        <w:rPr>
          <w:rFonts w:hint="eastAsia" w:ascii="仿宋" w:hAnsi="仿宋" w:eastAsia="仿宋" w:cs="华文中宋"/>
          <w:b/>
          <w:bCs/>
          <w:sz w:val="36"/>
          <w:szCs w:val="36"/>
        </w:rPr>
      </w:pPr>
      <w:r>
        <w:rPr>
          <w:rFonts w:hint="eastAsia" w:ascii="仿宋" w:hAnsi="仿宋" w:eastAsia="仿宋" w:cs="华文中宋"/>
          <w:b/>
          <w:bCs/>
          <w:sz w:val="36"/>
          <w:szCs w:val="36"/>
        </w:rPr>
        <w:t>主要分布区域内其他行政村基本情况表</w:t>
      </w:r>
    </w:p>
    <w:tbl>
      <w:tblPr>
        <w:tblStyle w:val="2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7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highlight w:val="yellow"/>
              </w:rPr>
            </w:pPr>
            <w:r>
              <w:rPr>
                <w:rFonts w:hint="eastAsia" w:ascii="仿宋" w:hAnsi="仿宋" w:eastAsia="仿宋" w:cs="方正仿宋_GB2312"/>
                <w:b/>
                <w:bCs/>
                <w:kern w:val="0"/>
                <w:sz w:val="28"/>
                <w:szCs w:val="28"/>
              </w:rPr>
              <w:t>行政村名称</w:t>
            </w:r>
          </w:p>
        </w:tc>
        <w:tc>
          <w:tcPr>
            <w:tcW w:w="7984" w:type="dxa"/>
            <w:vAlign w:val="center"/>
          </w:tcPr>
          <w:p>
            <w:pPr>
              <w:spacing w:line="480" w:lineRule="exact"/>
              <w:ind w:firstLine="608"/>
              <w:jc w:val="center"/>
              <w:rPr>
                <w:rFonts w:hint="eastAsia" w:ascii="仿宋" w:hAnsi="仿宋" w:eastAsia="仿宋" w:cs="方正仿宋_GB2312"/>
                <w:b/>
                <w:bCs/>
                <w:kern w:val="0"/>
                <w:sz w:val="28"/>
                <w:szCs w:val="28"/>
                <w:highlight w:val="yellow"/>
              </w:rPr>
            </w:pPr>
            <w:r>
              <w:rPr>
                <w:rFonts w:hint="eastAsia" w:ascii="仿宋" w:hAnsi="仿宋" w:eastAsia="仿宋" w:cs="方正仿宋_GB2312"/>
                <w:b/>
                <w:bCs/>
                <w:kern w:val="0"/>
                <w:sz w:val="28"/>
                <w:szCs w:val="28"/>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cs="方正仿宋_GB2312"/>
                <w:b/>
                <w:bCs/>
                <w:kern w:val="0"/>
                <w:sz w:val="28"/>
                <w:szCs w:val="28"/>
              </w:rPr>
              <w:t>阿瓦提镇阔纳阿日希村（8村）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w:t>
            </w:r>
            <w:r>
              <w:rPr>
                <w:rFonts w:ascii="仿宋" w:hAnsi="仿宋" w:eastAsia="仿宋" w:cs="方正仿宋_GB2312"/>
                <w:kern w:val="0"/>
                <w:sz w:val="28"/>
                <w:szCs w:val="28"/>
              </w:rPr>
              <w:t>9.</w:t>
            </w:r>
            <w:r>
              <w:rPr>
                <w:rFonts w:hint="eastAsia" w:ascii="仿宋" w:hAnsi="仿宋" w:eastAsia="仿宋" w:cs="方正仿宋_GB2312"/>
                <w:kern w:val="0"/>
                <w:sz w:val="28"/>
                <w:szCs w:val="28"/>
              </w:rPr>
              <w:t>9平方公里，距莎车县约</w:t>
            </w:r>
            <w:r>
              <w:rPr>
                <w:rFonts w:ascii="仿宋" w:hAnsi="仿宋" w:eastAsia="仿宋" w:cs="方正仿宋_GB2312"/>
                <w:kern w:val="0"/>
                <w:sz w:val="28"/>
                <w:szCs w:val="28"/>
              </w:rPr>
              <w:t>47</w:t>
            </w:r>
            <w:r>
              <w:rPr>
                <w:rFonts w:hint="eastAsia" w:ascii="仿宋" w:hAnsi="仿宋" w:eastAsia="仿宋" w:cs="方正仿宋_GB2312"/>
                <w:kern w:val="0"/>
                <w:sz w:val="28"/>
                <w:szCs w:val="28"/>
              </w:rPr>
              <w:t>公里，紧邻</w:t>
            </w:r>
            <w:r>
              <w:rPr>
                <w:rFonts w:ascii="仿宋" w:hAnsi="仿宋" w:eastAsia="仿宋" w:cs="方正仿宋_GB2312"/>
                <w:kern w:val="0"/>
                <w:sz w:val="28"/>
                <w:szCs w:val="28"/>
              </w:rPr>
              <w:t>2</w:t>
            </w:r>
            <w:r>
              <w:rPr>
                <w:rFonts w:hint="eastAsia" w:ascii="仿宋" w:hAnsi="仿宋" w:eastAsia="仿宋" w:cs="方正仿宋_GB2312"/>
                <w:kern w:val="0"/>
                <w:sz w:val="28"/>
                <w:szCs w:val="28"/>
                <w:lang w:val="en-US" w:eastAsia="zh-CN"/>
              </w:rPr>
              <w:t>公里</w:t>
            </w:r>
            <w:r>
              <w:rPr>
                <w:rFonts w:hint="eastAsia" w:ascii="仿宋" w:hAnsi="仿宋" w:eastAsia="仿宋" w:cs="方正仿宋_GB2312"/>
                <w:kern w:val="0"/>
                <w:sz w:val="28"/>
                <w:szCs w:val="28"/>
              </w:rPr>
              <w:t>，交通便利。地处温带大陆性气候，干旱少雨，靠近叶尔羌河，水资源相对充足。总户数</w:t>
            </w:r>
            <w:r>
              <w:rPr>
                <w:rFonts w:ascii="仿宋" w:hAnsi="仿宋" w:eastAsia="仿宋" w:cs="方正仿宋_GB2312"/>
                <w:kern w:val="0"/>
                <w:sz w:val="28"/>
                <w:szCs w:val="28"/>
              </w:rPr>
              <w:t>547</w:t>
            </w:r>
            <w:r>
              <w:rPr>
                <w:rFonts w:hint="eastAsia" w:ascii="仿宋" w:hAnsi="仿宋" w:eastAsia="仿宋" w:cs="方正仿宋_GB2312"/>
                <w:kern w:val="0"/>
                <w:sz w:val="28"/>
                <w:szCs w:val="28"/>
              </w:rPr>
              <w:t>户，总人口</w:t>
            </w:r>
            <w:r>
              <w:rPr>
                <w:rFonts w:ascii="仿宋" w:hAnsi="仿宋" w:eastAsia="仿宋" w:cs="方正仿宋_GB2312"/>
                <w:kern w:val="0"/>
                <w:sz w:val="28"/>
                <w:szCs w:val="28"/>
              </w:rPr>
              <w:t>2286</w:t>
            </w:r>
            <w:r>
              <w:rPr>
                <w:rFonts w:hint="eastAsia" w:ascii="仿宋" w:hAnsi="仿宋" w:eastAsia="仿宋" w:cs="方正仿宋_GB2312"/>
                <w:kern w:val="0"/>
                <w:sz w:val="28"/>
                <w:szCs w:val="28"/>
              </w:rPr>
              <w:t>人（2024年），以维吾尔族为主，占比99.6%，汉族人口较少，是典型的少数民族集聚区。全村巴旦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种植面积达2150亩，村庄产业以巴旦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种植产业为主，村庄集体经济收入113万元，经营性收入7.5万元，农民人均收入1</w:t>
            </w:r>
            <w:r>
              <w:rPr>
                <w:rFonts w:hint="eastAsia" w:ascii="仿宋" w:hAnsi="仿宋" w:eastAsia="仿宋" w:cs="方正仿宋_GB2312"/>
                <w:kern w:val="0"/>
                <w:sz w:val="28"/>
                <w:szCs w:val="28"/>
                <w:lang w:val="en-US" w:eastAsia="zh-CN"/>
              </w:rPr>
              <w:t>.</w:t>
            </w:r>
            <w:r>
              <w:rPr>
                <w:rFonts w:hint="eastAsia" w:ascii="仿宋" w:hAnsi="仿宋" w:eastAsia="仿宋" w:cs="方正仿宋_GB2312"/>
                <w:kern w:val="0"/>
                <w:sz w:val="28"/>
                <w:szCs w:val="28"/>
              </w:rPr>
              <w:t>9725万元。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cs="方正仿宋_GB2312"/>
                <w:b/>
                <w:bCs/>
                <w:kern w:val="0"/>
                <w:sz w:val="28"/>
                <w:szCs w:val="28"/>
              </w:rPr>
              <w:t>阿瓦提镇提干库</w:t>
            </w:r>
            <w:r>
              <w:rPr>
                <w:rFonts w:hint="eastAsia" w:ascii="仿宋" w:hAnsi="仿宋" w:eastAsia="仿宋" w:cs="方正仿宋_GB2312"/>
                <w:b/>
                <w:bCs/>
                <w:kern w:val="0"/>
                <w:sz w:val="28"/>
                <w:szCs w:val="28"/>
                <w:lang w:val="en-US" w:eastAsia="zh-CN"/>
              </w:rPr>
              <w:t>木</w:t>
            </w:r>
            <w:r>
              <w:rPr>
                <w:rFonts w:hint="eastAsia" w:ascii="仿宋" w:hAnsi="仿宋" w:eastAsia="仿宋" w:cs="方正仿宋_GB2312"/>
                <w:b/>
                <w:bCs/>
                <w:kern w:val="0"/>
                <w:sz w:val="28"/>
                <w:szCs w:val="28"/>
              </w:rPr>
              <w:t>村（10村）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占地面积4.623平方公里，距莎车县约56公里，紧邻</w:t>
            </w:r>
            <w:r>
              <w:rPr>
                <w:rFonts w:hint="eastAsia" w:ascii="仿宋" w:hAnsi="仿宋" w:eastAsia="仿宋" w:cs="方正仿宋_GB2312"/>
                <w:kern w:val="0"/>
                <w:sz w:val="28"/>
                <w:szCs w:val="28"/>
                <w:lang w:val="en-US" w:eastAsia="zh-CN"/>
              </w:rPr>
              <w:t>X</w:t>
            </w:r>
            <w:r>
              <w:rPr>
                <w:rFonts w:hint="eastAsia" w:ascii="仿宋" w:hAnsi="仿宋" w:eastAsia="仿宋" w:cs="方正仿宋_GB2312"/>
                <w:kern w:val="0"/>
                <w:sz w:val="28"/>
                <w:szCs w:val="28"/>
              </w:rPr>
              <w:t>498县道公路，交通便利。地处温带大陆性气候，干旱少雨，靠近叶尔羌河，水资源相对充足。总户数378户，总人口1455人（2024年），以维吾尔族为主，占比100%，汉族人口没有，是典型的少数民族集聚区。全村巴旦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种植面积达1188亩，村庄产业以巴旦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种植为主，村庄集体经济收入47.1万元，经营性收入</w:t>
            </w:r>
            <w:r>
              <w:rPr>
                <w:rFonts w:hint="eastAsia" w:ascii="仿宋" w:hAnsi="仿宋" w:eastAsia="仿宋" w:cs="方正仿宋_GB2312"/>
                <w:kern w:val="0"/>
                <w:sz w:val="28"/>
                <w:szCs w:val="28"/>
                <w:lang w:val="en-US" w:eastAsia="zh-CN"/>
              </w:rPr>
              <w:t>7.2</w:t>
            </w:r>
            <w:r>
              <w:rPr>
                <w:rFonts w:hint="eastAsia" w:ascii="仿宋" w:hAnsi="仿宋" w:eastAsia="仿宋" w:cs="方正仿宋_GB2312"/>
                <w:kern w:val="0"/>
                <w:sz w:val="28"/>
                <w:szCs w:val="28"/>
              </w:rPr>
              <w:t>万元，农民人均收入1.9万元。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cs="方正仿宋_GB2312"/>
                <w:b/>
                <w:bCs/>
                <w:kern w:val="0"/>
                <w:sz w:val="28"/>
                <w:szCs w:val="28"/>
              </w:rPr>
              <w:t>阿瓦提镇喀勒塔吾斯塘村（11村）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2.42平方公里，距莎车县约50公里，紧邻公路，交通便利。地处温带大陆性气候，干旱少雨，靠近叶尔羌河，水资源相对充足。总户数267户，总人口1081人（2024年），以维吾尔族为主，占比99%，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种植面积达1650亩，村庄产业</w:t>
            </w:r>
            <w:r>
              <w:rPr>
                <w:rFonts w:hint="eastAsia" w:ascii="仿宋" w:hAnsi="仿宋" w:eastAsia="仿宋" w:cs="方正仿宋_GB2312"/>
                <w:kern w:val="0"/>
                <w:sz w:val="28"/>
                <w:szCs w:val="28"/>
                <w:lang w:eastAsia="zh-CN"/>
              </w:rPr>
              <w:t>以</w:t>
            </w:r>
            <w:r>
              <w:rPr>
                <w:rFonts w:hint="eastAsia" w:ascii="仿宋" w:hAnsi="仿宋" w:eastAsia="仿宋" w:cs="方正仿宋_GB2312"/>
                <w:kern w:val="0"/>
                <w:sz w:val="28"/>
                <w:szCs w:val="28"/>
              </w:rPr>
              <w:t>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种植为主，村庄集体经济收入</w:t>
            </w:r>
            <w:r>
              <w:rPr>
                <w:rFonts w:hint="eastAsia" w:ascii="仿宋" w:hAnsi="仿宋" w:eastAsia="仿宋" w:cs="方正仿宋_GB2312"/>
                <w:kern w:val="0"/>
                <w:sz w:val="28"/>
                <w:szCs w:val="28"/>
                <w:lang w:val="en-US" w:eastAsia="zh-CN"/>
              </w:rPr>
              <w:t>49.6</w:t>
            </w:r>
            <w:r>
              <w:rPr>
                <w:rFonts w:hint="eastAsia" w:ascii="仿宋" w:hAnsi="仿宋" w:eastAsia="仿宋" w:cs="方正仿宋_GB2312"/>
                <w:kern w:val="0"/>
                <w:sz w:val="28"/>
                <w:szCs w:val="28"/>
              </w:rPr>
              <w:t>万元，经营性收入</w:t>
            </w:r>
            <w:r>
              <w:rPr>
                <w:rFonts w:hint="eastAsia" w:ascii="仿宋" w:hAnsi="仿宋" w:eastAsia="仿宋" w:cs="方正仿宋_GB2312"/>
                <w:kern w:val="0"/>
                <w:sz w:val="28"/>
                <w:szCs w:val="28"/>
                <w:lang w:val="en-US" w:eastAsia="zh-CN"/>
              </w:rPr>
              <w:t>2.25</w:t>
            </w:r>
            <w:r>
              <w:rPr>
                <w:rFonts w:hint="eastAsia" w:ascii="仿宋" w:hAnsi="仿宋" w:eastAsia="仿宋" w:cs="方正仿宋_GB2312"/>
                <w:kern w:val="0"/>
                <w:sz w:val="28"/>
                <w:szCs w:val="28"/>
              </w:rPr>
              <w:t>万元，农民人均收入</w:t>
            </w:r>
            <w:r>
              <w:rPr>
                <w:rFonts w:hint="eastAsia" w:ascii="仿宋" w:hAnsi="仿宋" w:eastAsia="仿宋" w:cs="方正仿宋_GB2312"/>
                <w:kern w:val="0"/>
                <w:sz w:val="28"/>
                <w:szCs w:val="28"/>
                <w:lang w:val="en-US" w:eastAsia="zh-CN"/>
              </w:rPr>
              <w:t>1.49</w:t>
            </w:r>
            <w:r>
              <w:rPr>
                <w:rFonts w:hint="eastAsia" w:ascii="仿宋" w:hAnsi="仿宋" w:eastAsia="仿宋" w:cs="方正仿宋_GB2312"/>
                <w:kern w:val="0"/>
                <w:sz w:val="28"/>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cs="方正仿宋_GB2312"/>
                <w:b/>
                <w:bCs/>
                <w:kern w:val="0"/>
                <w:sz w:val="28"/>
                <w:szCs w:val="28"/>
              </w:rPr>
              <w:t>阿瓦提镇阿瓦提巴扎村（12村）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5.8平方公里，距莎车县约45公里，紧邻三莎高速公路，交通便利。地处温带大陆性气候，干旱少雨，靠近叶尔羌河，水资源相对充足。总户数446户，总人口1646人（2024年），以维吾尔族为主，占比99%，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种植面积达960亩，村庄产业以巴旦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种植为主，同时还通过相关集市活动销售农产品。村庄集体经济收入</w:t>
            </w:r>
            <w:r>
              <w:rPr>
                <w:rFonts w:ascii="仿宋" w:hAnsi="仿宋" w:eastAsia="仿宋" w:cs="方正仿宋_GB2312"/>
                <w:kern w:val="0"/>
                <w:sz w:val="28"/>
                <w:szCs w:val="28"/>
              </w:rPr>
              <w:t>13</w:t>
            </w:r>
            <w:r>
              <w:rPr>
                <w:rFonts w:hint="eastAsia" w:ascii="仿宋" w:hAnsi="仿宋" w:eastAsia="仿宋" w:cs="方正仿宋_GB2312"/>
                <w:kern w:val="0"/>
                <w:sz w:val="28"/>
                <w:szCs w:val="28"/>
              </w:rPr>
              <w:t>.</w:t>
            </w:r>
            <w:r>
              <w:rPr>
                <w:rFonts w:ascii="仿宋" w:hAnsi="仿宋" w:eastAsia="仿宋" w:cs="方正仿宋_GB2312"/>
                <w:kern w:val="0"/>
                <w:sz w:val="28"/>
                <w:szCs w:val="28"/>
              </w:rPr>
              <w:t>325</w:t>
            </w:r>
            <w:r>
              <w:rPr>
                <w:rFonts w:hint="eastAsia" w:ascii="仿宋" w:hAnsi="仿宋" w:eastAsia="仿宋" w:cs="方正仿宋_GB2312"/>
                <w:kern w:val="0"/>
                <w:sz w:val="28"/>
                <w:szCs w:val="28"/>
              </w:rPr>
              <w:t>万元，经营性收入1153.2元，农民人均收入2.5869万元。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cs="方正仿宋_GB2312"/>
                <w:b/>
                <w:bCs/>
                <w:kern w:val="0"/>
                <w:sz w:val="28"/>
                <w:szCs w:val="28"/>
              </w:rPr>
              <w:t>阿瓦提镇库</w:t>
            </w:r>
            <w:r>
              <w:rPr>
                <w:rFonts w:hint="eastAsia" w:ascii="仿宋" w:hAnsi="仿宋" w:eastAsia="仿宋" w:cs="方正仿宋_GB2312"/>
                <w:b/>
                <w:bCs/>
                <w:kern w:val="0"/>
                <w:sz w:val="28"/>
                <w:szCs w:val="28"/>
                <w:lang w:val="en-US" w:eastAsia="zh-CN"/>
              </w:rPr>
              <w:t>木</w:t>
            </w:r>
            <w:r>
              <w:rPr>
                <w:rFonts w:hint="eastAsia" w:ascii="仿宋" w:hAnsi="仿宋" w:eastAsia="仿宋" w:cs="方正仿宋_GB2312"/>
                <w:b/>
                <w:bCs/>
                <w:kern w:val="0"/>
                <w:sz w:val="28"/>
                <w:szCs w:val="28"/>
              </w:rPr>
              <w:t>库勒村（13村）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占地面积2</w:t>
            </w:r>
            <w:r>
              <w:rPr>
                <w:rFonts w:ascii="仿宋" w:hAnsi="仿宋" w:eastAsia="仿宋" w:cs="方正仿宋_GB2312"/>
                <w:kern w:val="0"/>
                <w:sz w:val="28"/>
                <w:szCs w:val="28"/>
              </w:rPr>
              <w:t>.</w:t>
            </w:r>
            <w:r>
              <w:rPr>
                <w:rFonts w:hint="eastAsia" w:ascii="仿宋" w:hAnsi="仿宋" w:eastAsia="仿宋" w:cs="方正仿宋_GB2312"/>
                <w:kern w:val="0"/>
                <w:sz w:val="28"/>
                <w:szCs w:val="28"/>
              </w:rPr>
              <w:t>93平方公里，距莎车县约45公里，紧邻阿瓦提镇</w:t>
            </w:r>
            <w:r>
              <w:rPr>
                <w:rFonts w:ascii="仿宋" w:hAnsi="仿宋" w:eastAsia="仿宋" w:cs="方正仿宋_GB2312"/>
                <w:kern w:val="0"/>
                <w:sz w:val="28"/>
                <w:szCs w:val="28"/>
              </w:rPr>
              <w:t>12</w:t>
            </w:r>
            <w:r>
              <w:rPr>
                <w:rFonts w:hint="eastAsia" w:ascii="仿宋" w:hAnsi="仿宋" w:eastAsia="仿宋" w:cs="方正仿宋_GB2312"/>
                <w:kern w:val="0"/>
                <w:sz w:val="28"/>
                <w:szCs w:val="28"/>
              </w:rPr>
              <w:t>村，交通便利。地处温带大陆性气候，干旱少雨，靠近叶尔羌河，水资源相对充足。总户数311户，总人口1187人（2024年），以维吾尔族为主，占比100%，汉族人口没有，是典型的少数民族集聚区。全村巴旦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w:t>
            </w:r>
            <w:r>
              <w:rPr>
                <w:rFonts w:ascii="仿宋" w:hAnsi="仿宋" w:eastAsia="仿宋" w:cs="方正仿宋_GB2312"/>
                <w:kern w:val="0"/>
                <w:sz w:val="28"/>
                <w:szCs w:val="28"/>
              </w:rPr>
              <w:t>1421</w:t>
            </w:r>
            <w:r>
              <w:rPr>
                <w:rFonts w:hint="eastAsia" w:ascii="仿宋" w:hAnsi="仿宋" w:eastAsia="仿宋" w:cs="方正仿宋_GB2312"/>
                <w:kern w:val="0"/>
                <w:sz w:val="28"/>
                <w:szCs w:val="28"/>
              </w:rPr>
              <w:t>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为主，以及养鸽产业为补充，整村养鸽约3万羽，此外还通过合作社+农户的形式收购农户种植的巴旦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产品与手工产品。村庄集体经济收入36.52万元，经营性收入18.82万元，农民人均收入2.031万元。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cs="方正仿宋_GB2312"/>
                <w:b/>
                <w:bCs/>
                <w:kern w:val="0"/>
                <w:sz w:val="28"/>
                <w:szCs w:val="28"/>
              </w:rPr>
              <w:t>阿瓦提镇提铁尔库勒村（14村）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占地面积3.47平方公里，距莎车县约56公里，紧邻2公</w:t>
            </w:r>
            <w:r>
              <w:rPr>
                <w:rFonts w:hint="eastAsia" w:ascii="仿宋" w:hAnsi="仿宋" w:eastAsia="仿宋" w:cs="方正仿宋_GB2312"/>
                <w:kern w:val="0"/>
                <w:sz w:val="28"/>
                <w:szCs w:val="28"/>
                <w:lang w:val="en-US" w:eastAsia="zh-CN"/>
              </w:rPr>
              <w:t>里</w:t>
            </w:r>
            <w:r>
              <w:rPr>
                <w:rFonts w:hint="eastAsia" w:ascii="仿宋" w:hAnsi="仿宋" w:eastAsia="仿宋" w:cs="方正仿宋_GB2312"/>
                <w:kern w:val="0"/>
                <w:sz w:val="28"/>
                <w:szCs w:val="28"/>
              </w:rPr>
              <w:t>，交通便利。地处温带大陆性气候，干旱少雨，靠近叶尔羌河，水资源相对充足。总户数221户，总人口886人（2024年），以维吾尔族为主，占比100%，无汉族人口，是典型的少数民族集聚区。全村巴旦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种植面积达715亩，村庄产业以巴旦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（种植、观光、加工、公司+合作社+农户）为主，村庄集体经济收入54.32万元，经营性收入6.266万元，农民人均收入1.9852万元。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b/>
                <w:bCs/>
                <w:sz w:val="28"/>
                <w:szCs w:val="28"/>
              </w:rPr>
              <w:t>阿热勒乡布力买村（1村）</w:t>
            </w:r>
          </w:p>
        </w:tc>
        <w:tc>
          <w:tcPr>
            <w:tcW w:w="7984"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4.08平方公里，距莎车县约8公里，紧邻Y509县道公路，交通便利。地处温带大陆性气候，干旱少雨，靠近叶尔羌河，水资源相对充足。总户数254户，总人口1037人（2024年），以少数民族为主，占比99.7%，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种植面积达2295.4亩，村庄产业</w:t>
            </w:r>
            <w:r>
              <w:rPr>
                <w:rFonts w:hint="eastAsia" w:ascii="仿宋" w:hAnsi="仿宋" w:eastAsia="仿宋" w:cs="方正仿宋_GB2312"/>
                <w:kern w:val="0"/>
                <w:sz w:val="28"/>
                <w:szCs w:val="28"/>
                <w:lang w:eastAsia="zh-CN"/>
              </w:rPr>
              <w:t>以</w:t>
            </w:r>
            <w:r>
              <w:rPr>
                <w:rFonts w:hint="eastAsia" w:ascii="仿宋" w:hAnsi="仿宋" w:eastAsia="仿宋" w:cs="方正仿宋_GB2312"/>
                <w:kern w:val="0"/>
                <w:sz w:val="28"/>
                <w:szCs w:val="28"/>
              </w:rPr>
              <w:t>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种植为主，村庄集体经济收入56万元，经营性收入5万元，农民人均收入1.8万元。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b/>
                <w:bCs/>
                <w:sz w:val="28"/>
                <w:szCs w:val="28"/>
              </w:rPr>
              <w:t>阿热勒乡苏盖提力克村（3村）</w:t>
            </w:r>
          </w:p>
        </w:tc>
        <w:tc>
          <w:tcPr>
            <w:tcW w:w="7984"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1.56平方公里，距莎车县约8公里，紧邻Y509公路，交通便利。地处温带大陆性气候，干旱少雨，靠近叶尔羌河，水资源相对充足。总户数246户，总人口953人（2024年），以少数民族为主，占比99.7%，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种植面积达647.8亩，村庄产业以巴旦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（种植、观光、加工、公司+合作社+农户）为主，村庄集体经济收入63万元，经营性收入3.5万元，农民人均收入</w:t>
            </w:r>
            <w:r>
              <w:rPr>
                <w:rFonts w:hint="eastAsia" w:ascii="仿宋" w:hAnsi="仿宋" w:eastAsia="仿宋" w:cs="方正仿宋_GB2312"/>
                <w:kern w:val="0"/>
                <w:sz w:val="28"/>
                <w:szCs w:val="28"/>
                <w:highlight w:val="none"/>
              </w:rPr>
              <w:t>2</w:t>
            </w:r>
            <w:r>
              <w:rPr>
                <w:rFonts w:hint="eastAsia" w:ascii="仿宋" w:hAnsi="仿宋" w:eastAsia="仿宋" w:cs="方正仿宋_GB2312"/>
                <w:kern w:val="0"/>
                <w:sz w:val="28"/>
                <w:szCs w:val="28"/>
                <w:highlight w:val="none"/>
                <w:lang w:val="en-US" w:eastAsia="zh-CN"/>
              </w:rPr>
              <w:t>.</w:t>
            </w:r>
            <w:r>
              <w:rPr>
                <w:rFonts w:hint="eastAsia" w:ascii="仿宋" w:hAnsi="仿宋" w:eastAsia="仿宋" w:cs="方正仿宋_GB2312"/>
                <w:kern w:val="0"/>
                <w:sz w:val="28"/>
                <w:szCs w:val="28"/>
                <w:highlight w:val="none"/>
              </w:rPr>
              <w:t>01</w:t>
            </w:r>
            <w:r>
              <w:rPr>
                <w:rFonts w:hint="eastAsia" w:ascii="仿宋" w:hAnsi="仿宋" w:eastAsia="仿宋" w:cs="方正仿宋_GB2312"/>
                <w:kern w:val="0"/>
                <w:sz w:val="28"/>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b/>
                <w:bCs/>
                <w:sz w:val="28"/>
                <w:szCs w:val="28"/>
              </w:rPr>
              <w:t>阿热勒乡吐格曼贝希村（6村）</w:t>
            </w:r>
          </w:p>
        </w:tc>
        <w:tc>
          <w:tcPr>
            <w:tcW w:w="7984"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2.47平方公里，距莎车县约14公里，紧邻Y235公路，交通便利。地处温带大陆性气候，干旱少雨，靠近叶尔羌河，水资源相对充足。总户数292户，总人口1269人（2024年），以少数民族为主，占比100%，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种植面积达1604.1亩，村庄产业以巴旦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种植为主，村庄集体经济收入27万元，经营性收入6.0412万元，农民人均收入1.7249万元。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b/>
                <w:bCs/>
                <w:sz w:val="28"/>
                <w:szCs w:val="28"/>
              </w:rPr>
              <w:t>阿热勒乡托盖塔塔尔村（4村）</w:t>
            </w:r>
          </w:p>
        </w:tc>
        <w:tc>
          <w:tcPr>
            <w:tcW w:w="7984"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占地面积5.3平方公里，距莎车县约8公里，紧邻3.5公</w:t>
            </w:r>
            <w:r>
              <w:rPr>
                <w:rFonts w:hint="eastAsia" w:ascii="仿宋" w:hAnsi="仿宋" w:eastAsia="仿宋" w:cs="方正仿宋_GB2312"/>
                <w:kern w:val="0"/>
                <w:sz w:val="28"/>
                <w:szCs w:val="28"/>
                <w:lang w:val="en-US" w:eastAsia="zh-CN"/>
              </w:rPr>
              <w:t>里</w:t>
            </w:r>
            <w:r>
              <w:rPr>
                <w:rFonts w:hint="eastAsia" w:ascii="仿宋" w:hAnsi="仿宋" w:eastAsia="仿宋" w:cs="方正仿宋_GB2312"/>
                <w:kern w:val="0"/>
                <w:sz w:val="28"/>
                <w:szCs w:val="28"/>
              </w:rPr>
              <w:t>，交通便利。地处温带大陆性气候，干旱少雨，靠近叶尔羌河，水资源相对充足。总户数564户，总人口2114人（2024年），以少数民族为主，占比99.3%，汉族人口较少，是典型的少数民族集聚区。全村巴旦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种植面积达2381.5亩，村庄产业以巴旦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种植为主，村庄集体经济收入320万元，经营性收入23万元，农民人均收入</w:t>
            </w:r>
            <w:r>
              <w:rPr>
                <w:rFonts w:hint="eastAsia" w:ascii="仿宋" w:hAnsi="仿宋" w:eastAsia="仿宋" w:cs="方正仿宋_GB2312"/>
                <w:kern w:val="0"/>
                <w:sz w:val="28"/>
                <w:szCs w:val="28"/>
                <w:highlight w:val="none"/>
              </w:rPr>
              <w:t>2</w:t>
            </w:r>
            <w:r>
              <w:rPr>
                <w:rFonts w:hint="eastAsia" w:ascii="仿宋" w:hAnsi="仿宋" w:eastAsia="仿宋" w:cs="方正仿宋_GB2312"/>
                <w:kern w:val="0"/>
                <w:sz w:val="28"/>
                <w:szCs w:val="28"/>
                <w:highlight w:val="none"/>
                <w:lang w:val="en-US" w:eastAsia="zh-CN"/>
              </w:rPr>
              <w:t>.</w:t>
            </w:r>
            <w:r>
              <w:rPr>
                <w:rFonts w:hint="eastAsia" w:ascii="仿宋" w:hAnsi="仿宋" w:eastAsia="仿宋" w:cs="方正仿宋_GB2312"/>
                <w:kern w:val="0"/>
                <w:sz w:val="28"/>
                <w:szCs w:val="28"/>
                <w:highlight w:val="none"/>
              </w:rPr>
              <w:t>112万</w:t>
            </w:r>
            <w:r>
              <w:rPr>
                <w:rFonts w:hint="eastAsia" w:ascii="仿宋" w:hAnsi="仿宋" w:eastAsia="仿宋" w:cs="方正仿宋_GB2312"/>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4" w:hRule="atLeast"/>
          <w:jc w:val="center"/>
        </w:trPr>
        <w:tc>
          <w:tcPr>
            <w:tcW w:w="1302" w:type="dxa"/>
            <w:vAlign w:val="center"/>
          </w:tcPr>
          <w:p>
            <w:pPr>
              <w:spacing w:line="480" w:lineRule="exact"/>
              <w:ind w:firstLine="0" w:firstLineChars="0"/>
              <w:jc w:val="center"/>
              <w:rPr>
                <w:rFonts w:hint="eastAsia" w:ascii="仿宋" w:hAnsi="仿宋" w:eastAsia="仿宋"/>
                <w:b/>
                <w:bCs/>
                <w:sz w:val="28"/>
                <w:szCs w:val="28"/>
              </w:rPr>
            </w:pPr>
            <w:r>
              <w:rPr>
                <w:rFonts w:hint="eastAsia" w:ascii="仿宋" w:hAnsi="仿宋" w:eastAsia="仿宋" w:cs="方正仿宋_GB2312"/>
                <w:b/>
                <w:bCs/>
                <w:kern w:val="0"/>
                <w:sz w:val="28"/>
                <w:szCs w:val="28"/>
              </w:rPr>
              <w:t>阿热勒乡巴依都维村（12村）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5.15平方公里，距莎车县约1公里，紧邻Y236乡道公路，交通便利。地处温带大陆性气候，干旱少雨，靠近叶尔羌河，水资源相对充足。总户数601户，总人口2209人（2024年），以少数民族为主，占比99.7%，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种植面积达952.7亩，村庄产业以巴旦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b/>
                <w:bCs/>
                <w:sz w:val="28"/>
                <w:szCs w:val="28"/>
              </w:rPr>
            </w:pPr>
            <w:r>
              <w:rPr>
                <w:rFonts w:hint="eastAsia" w:ascii="仿宋" w:hAnsi="仿宋" w:eastAsia="仿宋" w:cs="方正仿宋_GB2312"/>
                <w:b/>
                <w:bCs/>
                <w:kern w:val="0"/>
                <w:sz w:val="28"/>
                <w:szCs w:val="28"/>
              </w:rPr>
              <w:t>阿热勒乡阿孜干巴格村（14村）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3.06平方公里，距莎车县约1.5公里，紧邻Y236乡道公路，交通便利。地处温带大陆性气候，干旱少雨，靠近叶尔羌河，水资源相对充足。总户数272户，总人口1134人（2024年），以少数民族为主，占比100%，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种植面积达1685.1亩，村庄产业以巴旦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种植为主，村庄集体经济收入4</w:t>
            </w:r>
            <w:r>
              <w:rPr>
                <w:rFonts w:hint="eastAsia" w:ascii="仿宋" w:hAnsi="仿宋" w:eastAsia="仿宋" w:cs="方正仿宋_GB2312"/>
                <w:kern w:val="0"/>
                <w:sz w:val="28"/>
                <w:szCs w:val="28"/>
                <w:lang w:val="en-US" w:eastAsia="zh-CN"/>
              </w:rPr>
              <w:t>0</w:t>
            </w:r>
            <w:r>
              <w:rPr>
                <w:rFonts w:hint="eastAsia" w:ascii="仿宋" w:hAnsi="仿宋" w:eastAsia="仿宋" w:cs="方正仿宋_GB2312"/>
                <w:kern w:val="0"/>
                <w:sz w:val="28"/>
                <w:szCs w:val="28"/>
              </w:rPr>
              <w:t>万元，经营性收入14.56万元，农民人均收入1.8921万元。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b/>
                <w:bCs/>
                <w:sz w:val="28"/>
                <w:szCs w:val="28"/>
              </w:rPr>
              <w:t>塔尕尔其镇塔合塔科瑞克村(15村)</w:t>
            </w:r>
            <w:r>
              <w:rPr>
                <w:rFonts w:ascii="仿宋" w:hAnsi="仿宋" w:eastAsia="仿宋" w:cs="方正仿宋_GB2312"/>
                <w:b/>
                <w:bCs/>
                <w:kern w:val="0"/>
                <w:sz w:val="28"/>
                <w:szCs w:val="28"/>
              </w:rPr>
              <w:t xml:space="preserve"> </w:t>
            </w:r>
          </w:p>
        </w:tc>
        <w:tc>
          <w:tcPr>
            <w:tcW w:w="7984"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1.9平方公里，距莎车县约16公里，紧邻219国道公路，交通便利。地处温带大陆性气候，干旱少雨，靠近叶尔羌河，水资源相对充足。总户数319户，总人口1395人（2024年），以维吾尔族为主，占比100%，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种植面积达424.8亩，村庄产业以巴旦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（种植、观光、加工、公司+合作社+农户）为主，村庄集体经济收入13.16万元，经营性收入4.51万元，农民人均收入2.0534万元。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b/>
                <w:bCs/>
                <w:sz w:val="28"/>
                <w:szCs w:val="28"/>
              </w:rPr>
              <w:t>塔尕尔其镇库</w:t>
            </w:r>
            <w:r>
              <w:rPr>
                <w:rFonts w:hint="eastAsia" w:ascii="仿宋" w:hAnsi="仿宋" w:eastAsia="仿宋"/>
                <w:b/>
                <w:bCs/>
                <w:sz w:val="28"/>
                <w:szCs w:val="28"/>
                <w:lang w:val="en-US" w:eastAsia="zh-CN"/>
              </w:rPr>
              <w:t>木</w:t>
            </w:r>
            <w:r>
              <w:rPr>
                <w:rFonts w:hint="eastAsia" w:ascii="仿宋" w:hAnsi="仿宋" w:eastAsia="仿宋"/>
                <w:b/>
                <w:bCs/>
                <w:sz w:val="28"/>
                <w:szCs w:val="28"/>
              </w:rPr>
              <w:t>其巴格村（16村）</w:t>
            </w:r>
          </w:p>
        </w:tc>
        <w:tc>
          <w:tcPr>
            <w:tcW w:w="7984" w:type="dxa"/>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占地面积3.72平方公里，距莎车县约18公里，紧邻1公</w:t>
            </w:r>
            <w:r>
              <w:rPr>
                <w:rFonts w:hint="eastAsia" w:ascii="仿宋" w:hAnsi="仿宋" w:eastAsia="仿宋" w:cs="方正仿宋_GB2312"/>
                <w:kern w:val="0"/>
                <w:sz w:val="28"/>
                <w:szCs w:val="28"/>
                <w:lang w:val="en-US" w:eastAsia="zh-CN"/>
              </w:rPr>
              <w:t>里</w:t>
            </w:r>
            <w:r>
              <w:rPr>
                <w:rFonts w:hint="eastAsia" w:ascii="仿宋" w:hAnsi="仿宋" w:eastAsia="仿宋" w:cs="方正仿宋_GB2312"/>
                <w:kern w:val="0"/>
                <w:sz w:val="28"/>
                <w:szCs w:val="28"/>
              </w:rPr>
              <w:t>，交通便利。地处温带大陆性气候，干旱少雨，靠近叶尔羌河，水资源相对充足。总户数618户，总人口2777人（2024年），以维吾尔族为主，占比99.8%，汉族人口较少，是典型的少数民族集聚区。全村巴旦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种植面积达300亩，村庄产业以巴旦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种植为主，村庄集体经济收入33.72万元，经营性收入30.22万元，农民人均收入1.6万元。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cs="方正仿宋_GB2312"/>
                <w:b/>
                <w:bCs/>
                <w:kern w:val="0"/>
                <w:sz w:val="28"/>
                <w:szCs w:val="28"/>
              </w:rPr>
            </w:pPr>
            <w:r>
              <w:rPr>
                <w:rFonts w:hint="eastAsia" w:ascii="仿宋" w:hAnsi="仿宋" w:eastAsia="仿宋"/>
                <w:b/>
                <w:bCs/>
                <w:sz w:val="28"/>
                <w:szCs w:val="28"/>
              </w:rPr>
              <w:t>塔尕尔其镇</w:t>
            </w:r>
            <w:r>
              <w:rPr>
                <w:rFonts w:hint="eastAsia" w:ascii="仿宋" w:hAnsi="仿宋" w:eastAsia="仿宋" w:cs="方正仿宋_GB2312"/>
                <w:b/>
                <w:bCs/>
                <w:kern w:val="0"/>
                <w:sz w:val="28"/>
                <w:szCs w:val="28"/>
              </w:rPr>
              <w:t>库吾其村（21村）</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占地面积3.5平方公里，距莎车县约15公里，紧邻</w:t>
            </w:r>
            <w:r>
              <w:rPr>
                <w:rFonts w:hint="eastAsia" w:ascii="仿宋" w:hAnsi="仿宋" w:eastAsia="仿宋" w:cs="方正仿宋_GB2312"/>
                <w:kern w:val="0"/>
                <w:sz w:val="28"/>
                <w:szCs w:val="28"/>
                <w:lang w:val="en-US" w:eastAsia="zh-CN"/>
              </w:rPr>
              <w:t>G</w:t>
            </w:r>
            <w:r>
              <w:rPr>
                <w:rFonts w:hint="eastAsia" w:ascii="仿宋" w:hAnsi="仿宋" w:eastAsia="仿宋" w:cs="方正仿宋_GB2312"/>
                <w:kern w:val="0"/>
                <w:sz w:val="28"/>
                <w:szCs w:val="28"/>
              </w:rPr>
              <w:t>217</w:t>
            </w:r>
            <w:r>
              <w:rPr>
                <w:rFonts w:hint="eastAsia" w:ascii="仿宋" w:hAnsi="仿宋" w:eastAsia="仿宋" w:cs="方正仿宋_GB2312"/>
                <w:kern w:val="0"/>
                <w:sz w:val="28"/>
                <w:szCs w:val="28"/>
                <w:lang w:val="en-US" w:eastAsia="zh-CN"/>
              </w:rPr>
              <w:t>国道，</w:t>
            </w:r>
            <w:r>
              <w:rPr>
                <w:rFonts w:hint="eastAsia" w:ascii="仿宋" w:hAnsi="仿宋" w:eastAsia="仿宋" w:cs="方正仿宋_GB2312"/>
                <w:kern w:val="0"/>
                <w:sz w:val="28"/>
                <w:szCs w:val="28"/>
              </w:rPr>
              <w:t>交通便利。地处温带大陆性气候，干旱少雨，靠近叶尔羌河，水资源相对充足。总户数465户，总人口1971人（2024年），以维吾尔族为主，占比100%，汉族人口较少，是典型的少数民族集聚区。全村巴旦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种植面积达550亩，村庄产业以巴旦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种植+农户为主，村庄集体经济收入42万元，经营性收入13万元，农民人均收入1.92万元。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pPr>
              <w:spacing w:line="480" w:lineRule="exact"/>
              <w:ind w:firstLine="0" w:firstLineChars="0"/>
              <w:jc w:val="center"/>
              <w:rPr>
                <w:rFonts w:hint="eastAsia" w:ascii="仿宋" w:hAnsi="仿宋" w:eastAsia="仿宋"/>
                <w:b/>
                <w:bCs/>
                <w:sz w:val="28"/>
                <w:szCs w:val="28"/>
              </w:rPr>
            </w:pPr>
            <w:r>
              <w:rPr>
                <w:rFonts w:hint="eastAsia" w:ascii="仿宋" w:hAnsi="仿宋" w:eastAsia="仿宋"/>
                <w:b/>
                <w:bCs/>
                <w:sz w:val="28"/>
                <w:szCs w:val="28"/>
              </w:rPr>
              <w:t>国</w:t>
            </w:r>
            <w:r>
              <w:rPr>
                <w:rFonts w:hint="eastAsia" w:ascii="仿宋" w:hAnsi="仿宋" w:eastAsia="仿宋"/>
                <w:b/>
                <w:bCs/>
                <w:sz w:val="28"/>
                <w:szCs w:val="28"/>
                <w:lang w:val="en-US" w:eastAsia="zh-CN"/>
              </w:rPr>
              <w:t>有</w:t>
            </w:r>
            <w:r>
              <w:rPr>
                <w:rFonts w:hint="eastAsia" w:ascii="仿宋" w:hAnsi="仿宋" w:eastAsia="仿宋"/>
                <w:b/>
                <w:bCs/>
                <w:sz w:val="28"/>
                <w:szCs w:val="28"/>
              </w:rPr>
              <w:t>二林场</w:t>
            </w:r>
          </w:p>
        </w:tc>
        <w:tc>
          <w:tcPr>
            <w:tcW w:w="7984" w:type="dxa"/>
            <w:vAlign w:val="center"/>
          </w:tcPr>
          <w:p>
            <w:pPr>
              <w:spacing w:line="240" w:lineRule="auto"/>
              <w:ind w:firstLine="0" w:firstLineChars="0"/>
              <w:jc w:val="left"/>
              <w:rPr>
                <w:rFonts w:hint="eastAsia" w:ascii="仿宋" w:hAnsi="仿宋" w:eastAsia="仿宋" w:cs="方正仿宋_GB2312"/>
                <w:kern w:val="0"/>
                <w:sz w:val="28"/>
                <w:szCs w:val="28"/>
              </w:rPr>
            </w:pPr>
            <w:r>
              <w:rPr>
                <w:rFonts w:hint="eastAsia" w:ascii="仿宋" w:hAnsi="仿宋" w:eastAsia="仿宋" w:cs="方正仿宋_GB2312"/>
                <w:kern w:val="0"/>
                <w:sz w:val="28"/>
                <w:szCs w:val="28"/>
              </w:rPr>
              <w:t>占地面积3.1平方公里，距莎车县约26公里，由喀群公路与县城连接，交通便利。地处温带大陆性气候，干旱少雨，紧邻叶尔羌河，水资源充足。总户数25户，总人口95人（2024年），以汉族为主，林场共有耕地面积2646亩，巴旦</w:t>
            </w:r>
            <w:r>
              <w:rPr>
                <w:rFonts w:hint="eastAsia" w:ascii="仿宋" w:hAnsi="仿宋" w:eastAsia="仿宋" w:cs="方正仿宋_GB2312"/>
                <w:kern w:val="0"/>
                <w:sz w:val="28"/>
                <w:szCs w:val="28"/>
                <w:lang w:eastAsia="zh-CN"/>
              </w:rPr>
              <w:t>姆</w:t>
            </w:r>
            <w:r>
              <w:rPr>
                <w:rFonts w:hint="eastAsia" w:ascii="仿宋" w:hAnsi="仿宋" w:eastAsia="仿宋" w:cs="方正仿宋_GB2312"/>
                <w:kern w:val="0"/>
                <w:sz w:val="28"/>
                <w:szCs w:val="28"/>
              </w:rPr>
              <w:t>种植面积780亩。</w:t>
            </w:r>
            <w:r>
              <w:rPr>
                <w:rFonts w:hint="eastAsia" w:ascii="仿宋" w:hAnsi="仿宋" w:eastAsia="仿宋" w:cs="方正仿宋_GB2312"/>
                <w:kern w:val="0"/>
                <w:sz w:val="28"/>
                <w:szCs w:val="28"/>
                <w:lang w:val="en-US" w:eastAsia="zh-CN"/>
              </w:rPr>
              <w:t>国有</w:t>
            </w:r>
            <w:r>
              <w:rPr>
                <w:rFonts w:hint="eastAsia" w:ascii="仿宋" w:hAnsi="仿宋" w:eastAsia="仿宋" w:cs="方正仿宋_GB2312"/>
                <w:kern w:val="0"/>
                <w:sz w:val="28"/>
                <w:szCs w:val="28"/>
              </w:rPr>
              <w:t>二林场业务包括管理促进林业发展、农作物种植、林</w:t>
            </w:r>
            <w:r>
              <w:rPr>
                <w:rFonts w:hint="eastAsia" w:ascii="仿宋" w:hAnsi="仿宋" w:eastAsia="仿宋" w:cs="方正仿宋_GB2312"/>
                <w:kern w:val="0"/>
                <w:sz w:val="28"/>
                <w:szCs w:val="28"/>
                <w:lang w:val="en-US" w:eastAsia="zh-CN"/>
              </w:rPr>
              <w:t>木</w:t>
            </w:r>
            <w:r>
              <w:rPr>
                <w:rFonts w:hint="eastAsia" w:ascii="仿宋" w:hAnsi="仿宋" w:eastAsia="仿宋" w:cs="方正仿宋_GB2312"/>
                <w:kern w:val="0"/>
                <w:sz w:val="28"/>
                <w:szCs w:val="28"/>
              </w:rPr>
              <w:t>种苗生产供应、护林防火、林</w:t>
            </w:r>
            <w:r>
              <w:rPr>
                <w:rFonts w:hint="eastAsia" w:ascii="仿宋" w:hAnsi="仿宋" w:eastAsia="仿宋" w:cs="方正仿宋_GB2312"/>
                <w:kern w:val="0"/>
                <w:sz w:val="28"/>
                <w:szCs w:val="28"/>
                <w:lang w:val="en-US" w:eastAsia="zh-CN"/>
              </w:rPr>
              <w:t>木</w:t>
            </w:r>
            <w:r>
              <w:rPr>
                <w:rFonts w:hint="eastAsia" w:ascii="仿宋" w:hAnsi="仿宋" w:eastAsia="仿宋" w:cs="方正仿宋_GB2312"/>
                <w:kern w:val="0"/>
                <w:sz w:val="28"/>
                <w:szCs w:val="28"/>
              </w:rPr>
              <w:t>良种选育与新技术推广、林</w:t>
            </w:r>
            <w:r>
              <w:rPr>
                <w:rFonts w:hint="eastAsia" w:ascii="仿宋" w:hAnsi="仿宋" w:eastAsia="仿宋" w:cs="方正仿宋_GB2312"/>
                <w:kern w:val="0"/>
                <w:sz w:val="28"/>
                <w:szCs w:val="28"/>
                <w:lang w:val="en-US" w:eastAsia="zh-CN"/>
              </w:rPr>
              <w:t>木</w:t>
            </w:r>
            <w:r>
              <w:rPr>
                <w:rFonts w:hint="eastAsia" w:ascii="仿宋" w:hAnsi="仿宋" w:eastAsia="仿宋" w:cs="方正仿宋_GB2312"/>
                <w:kern w:val="0"/>
                <w:sz w:val="28"/>
                <w:szCs w:val="28"/>
              </w:rPr>
              <w:t>种苗调剂、林业信息服务、相关技术和管理人员培训。</w:t>
            </w:r>
          </w:p>
        </w:tc>
      </w:tr>
    </w:tbl>
    <w:p>
      <w:pPr>
        <w:widowControl/>
        <w:spacing w:line="240" w:lineRule="auto"/>
        <w:ind w:firstLine="0" w:firstLineChars="0"/>
        <w:jc w:val="left"/>
        <w:rPr>
          <w:rFonts w:eastAsia="黑体" w:cs="Times New Roman"/>
          <w:sz w:val="30"/>
          <w:szCs w:val="30"/>
        </w:rPr>
      </w:pPr>
      <w:r>
        <w:rPr>
          <w:rFonts w:eastAsia="黑体" w:cs="Times New Roman"/>
          <w:sz w:val="30"/>
          <w:szCs w:val="30"/>
        </w:rPr>
        <w:br w:type="page"/>
      </w:r>
    </w:p>
    <w:p>
      <w:pPr>
        <w:spacing w:line="500" w:lineRule="exact"/>
        <w:ind w:firstLine="0" w:firstLineChars="0"/>
        <w:outlineLvl w:val="1"/>
        <w:rPr>
          <w:rFonts w:eastAsia="黑体" w:cs="Times New Roman"/>
          <w:sz w:val="30"/>
          <w:szCs w:val="30"/>
        </w:rPr>
      </w:pPr>
      <w:bookmarkStart w:id="14" w:name="_Toc224309336"/>
      <w:r>
        <w:rPr>
          <w:rFonts w:hint="eastAsia" w:eastAsia="黑体" w:cs="Times New Roman"/>
          <w:sz w:val="30"/>
          <w:szCs w:val="30"/>
        </w:rPr>
        <w:t>附件3</w:t>
      </w:r>
      <w:bookmarkEnd w:id="14"/>
    </w:p>
    <w:p>
      <w:pPr>
        <w:spacing w:after="217" w:afterLines="50" w:line="500" w:lineRule="exact"/>
        <w:ind w:firstLine="0" w:firstLineChars="0"/>
        <w:jc w:val="center"/>
        <w:rPr>
          <w:rFonts w:hint="eastAsia" w:ascii="宋体" w:hAnsi="宋体" w:eastAsia="宋体" w:cs="宋体"/>
          <w:sz w:val="24"/>
          <w:szCs w:val="24"/>
          <w:highlight w:val="yellow"/>
        </w:rPr>
      </w:pPr>
      <w:r>
        <w:rPr>
          <w:rFonts w:hint="eastAsia" w:ascii="仿宋" w:hAnsi="仿宋" w:eastAsia="仿宋" w:cs="华文中宋"/>
          <w:b/>
          <w:bCs/>
          <w:sz w:val="36"/>
          <w:szCs w:val="36"/>
        </w:rPr>
        <w:t>核心保护要素清单</w:t>
      </w:r>
    </w:p>
    <w:tbl>
      <w:tblPr>
        <w:tblStyle w:val="5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hint="eastAsia" w:ascii="仿宋" w:hAnsi="仿宋" w:eastAsia="仿宋" w:cs="宋体"/>
                <w:b/>
                <w:bCs/>
                <w:kern w:val="0"/>
                <w:sz w:val="28"/>
                <w:szCs w:val="28"/>
                <w:highlight w:val="yellow"/>
              </w:rPr>
            </w:pPr>
            <w:r>
              <w:rPr>
                <w:rFonts w:hint="eastAsia" w:ascii="仿宋" w:hAnsi="仿宋" w:eastAsia="仿宋" w:cs="黑体"/>
                <w:b/>
                <w:bCs/>
                <w:kern w:val="0"/>
                <w:sz w:val="28"/>
                <w:szCs w:val="28"/>
              </w:rPr>
              <w:t>要素名称</w:t>
            </w:r>
          </w:p>
        </w:tc>
        <w:tc>
          <w:tcPr>
            <w:tcW w:w="7229" w:type="dxa"/>
            <w:vAlign w:val="center"/>
          </w:tcPr>
          <w:p>
            <w:pPr>
              <w:spacing w:line="240" w:lineRule="auto"/>
              <w:ind w:firstLine="0" w:firstLineChars="0"/>
              <w:jc w:val="center"/>
              <w:rPr>
                <w:rFonts w:hint="eastAsia" w:ascii="仿宋" w:hAnsi="仿宋" w:eastAsia="仿宋" w:cs="宋体"/>
                <w:b/>
                <w:bCs/>
                <w:kern w:val="0"/>
                <w:sz w:val="28"/>
                <w:szCs w:val="28"/>
                <w:highlight w:val="yellow"/>
              </w:rPr>
            </w:pPr>
            <w:r>
              <w:rPr>
                <w:rFonts w:hint="eastAsia" w:ascii="仿宋" w:hAnsi="仿宋" w:eastAsia="仿宋" w:cs="黑体"/>
                <w:b/>
                <w:bCs/>
                <w:kern w:val="0"/>
                <w:sz w:val="28"/>
                <w:szCs w:val="28"/>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rPr>
                <w:rFonts w:hint="eastAsia" w:ascii="仿宋" w:hAnsi="仿宋" w:eastAsia="仿宋" w:cs="宋体"/>
                <w:b/>
                <w:bCs/>
                <w:kern w:val="0"/>
                <w:sz w:val="28"/>
                <w:szCs w:val="28"/>
                <w:highlight w:val="yellow"/>
              </w:rPr>
            </w:pPr>
            <w:r>
              <w:rPr>
                <w:rFonts w:hint="eastAsia" w:ascii="仿宋" w:hAnsi="仿宋" w:eastAsia="仿宋" w:cs="宋体"/>
                <w:b/>
                <w:bCs/>
                <w:kern w:val="0"/>
                <w:sz w:val="28"/>
                <w:szCs w:val="28"/>
              </w:rPr>
              <w:t>农业物种</w:t>
            </w:r>
          </w:p>
        </w:tc>
        <w:tc>
          <w:tcPr>
            <w:tcW w:w="7229" w:type="dxa"/>
            <w:vAlign w:val="center"/>
          </w:tcPr>
          <w:p>
            <w:pPr>
              <w:pStyle w:val="51"/>
              <w:widowControl w:val="0"/>
              <w:spacing w:line="240" w:lineRule="auto"/>
              <w:ind w:firstLine="0" w:firstLineChars="0"/>
              <w:jc w:val="both"/>
              <w:rPr>
                <w:rFonts w:hint="eastAsia" w:ascii="仿宋" w:hAnsi="仿宋" w:eastAsia="仿宋"/>
                <w:sz w:val="28"/>
                <w:szCs w:val="28"/>
              </w:rPr>
            </w:pPr>
            <w:r>
              <w:rPr>
                <w:rFonts w:hint="eastAsia" w:ascii="仿宋" w:hAnsi="仿宋" w:eastAsia="仿宋"/>
                <w:sz w:val="28"/>
                <w:szCs w:val="28"/>
              </w:rPr>
              <w:t>莎车本地71个传统巴旦</w:t>
            </w:r>
            <w:r>
              <w:rPr>
                <w:rFonts w:hint="eastAsia" w:ascii="仿宋" w:hAnsi="仿宋" w:eastAsia="仿宋"/>
                <w:sz w:val="28"/>
                <w:szCs w:val="28"/>
                <w:lang w:eastAsia="zh-CN"/>
              </w:rPr>
              <w:t>姆</w:t>
            </w:r>
            <w:r>
              <w:rPr>
                <w:rFonts w:hint="eastAsia" w:ascii="仿宋" w:hAnsi="仿宋" w:eastAsia="仿宋"/>
                <w:sz w:val="28"/>
                <w:szCs w:val="28"/>
              </w:rPr>
              <w:t>品种：纸皮（莎车-1）、双软（莎车-9）、矮丰（莎车-11）、双果（莎车-12）、叶尔羌（莎车-14）、晚丰（莎车-18）、小双（莎车-10）、小桃巴旦（莎车-32）、圆软（莎车-34）、寒丰（莎车-17）、阿曼尼（莎车-4）、双薄（莎车-5）、大巴旦</w:t>
            </w:r>
            <w:r>
              <w:rPr>
                <w:rFonts w:hint="eastAsia" w:ascii="仿宋" w:hAnsi="仿宋" w:eastAsia="仿宋"/>
                <w:sz w:val="28"/>
                <w:szCs w:val="28"/>
                <w:lang w:eastAsia="zh-CN"/>
              </w:rPr>
              <w:t>姆</w:t>
            </w:r>
            <w:r>
              <w:rPr>
                <w:rFonts w:hint="eastAsia" w:ascii="仿宋" w:hAnsi="仿宋" w:eastAsia="仿宋"/>
                <w:sz w:val="28"/>
                <w:szCs w:val="28"/>
              </w:rPr>
              <w:t>（莎车-3）等莎车本地71个传统巴旦</w:t>
            </w:r>
            <w:r>
              <w:rPr>
                <w:rFonts w:hint="eastAsia" w:ascii="仿宋" w:hAnsi="仿宋" w:eastAsia="仿宋"/>
                <w:sz w:val="28"/>
                <w:szCs w:val="28"/>
                <w:lang w:eastAsia="zh-CN"/>
              </w:rPr>
              <w:t>姆</w:t>
            </w:r>
            <w:r>
              <w:rPr>
                <w:rFonts w:hint="eastAsia" w:ascii="仿宋" w:hAnsi="仿宋" w:eastAsia="仿宋"/>
                <w:sz w:val="28"/>
                <w:szCs w:val="28"/>
              </w:rPr>
              <w:t>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rPr>
                <w:rFonts w:hint="eastAsia" w:ascii="仿宋" w:hAnsi="仿宋" w:eastAsia="仿宋" w:cs="宋体"/>
                <w:b/>
                <w:bCs/>
                <w:kern w:val="0"/>
                <w:sz w:val="28"/>
                <w:szCs w:val="28"/>
                <w:highlight w:val="yellow"/>
              </w:rPr>
            </w:pPr>
            <w:r>
              <w:rPr>
                <w:rFonts w:hint="eastAsia" w:ascii="仿宋" w:hAnsi="仿宋" w:eastAsia="仿宋" w:cs="宋体"/>
                <w:b/>
                <w:bCs/>
                <w:kern w:val="0"/>
                <w:sz w:val="28"/>
                <w:szCs w:val="28"/>
              </w:rPr>
              <w:t>传统知识体系与农耕技艺</w:t>
            </w:r>
          </w:p>
        </w:tc>
        <w:tc>
          <w:tcPr>
            <w:tcW w:w="7229" w:type="dxa"/>
            <w:vAlign w:val="center"/>
          </w:tcPr>
          <w:p>
            <w:pPr>
              <w:spacing w:line="240" w:lineRule="auto"/>
              <w:ind w:firstLine="0" w:firstLineChars="0"/>
              <w:rPr>
                <w:rFonts w:hint="eastAsia" w:ascii="仿宋" w:hAnsi="仿宋" w:eastAsia="仿宋" w:cs="宋体"/>
                <w:kern w:val="0"/>
                <w:sz w:val="28"/>
                <w:szCs w:val="28"/>
                <w:highlight w:val="yellow"/>
                <w:lang w:eastAsia="zh-CN"/>
              </w:rPr>
            </w:pPr>
            <w:r>
              <w:rPr>
                <w:rFonts w:hint="eastAsia" w:ascii="仿宋" w:hAnsi="仿宋" w:eastAsia="仿宋" w:cs="宋体"/>
                <w:kern w:val="0"/>
                <w:sz w:val="28"/>
                <w:szCs w:val="28"/>
              </w:rPr>
              <w:t>核心保护对象为传统的生态种植管理技术、传统耕作整地工具、传统施肥与播种工具、传统挖渠工具、传统采收运输工具</w:t>
            </w:r>
            <w:r>
              <w:rPr>
                <w:rFonts w:hint="eastAsia" w:ascii="仿宋" w:hAnsi="仿宋" w:eastAsia="仿宋" w:cs="宋体"/>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Align w:val="center"/>
          </w:tcPr>
          <w:p>
            <w:pPr>
              <w:spacing w:line="240" w:lineRule="auto"/>
              <w:ind w:firstLine="0" w:firstLineChars="0"/>
              <w:rPr>
                <w:rFonts w:hint="eastAsia" w:ascii="仿宋" w:hAnsi="仿宋" w:eastAsia="仿宋" w:cs="宋体"/>
                <w:b/>
                <w:bCs/>
                <w:kern w:val="0"/>
                <w:sz w:val="28"/>
                <w:szCs w:val="28"/>
                <w:highlight w:val="yellow"/>
              </w:rPr>
            </w:pPr>
            <w:r>
              <w:rPr>
                <w:rFonts w:hint="eastAsia" w:ascii="仿宋" w:hAnsi="仿宋" w:eastAsia="仿宋" w:cs="宋体"/>
                <w:b/>
                <w:bCs/>
                <w:kern w:val="0"/>
                <w:sz w:val="28"/>
                <w:szCs w:val="28"/>
              </w:rPr>
              <w:t>农业景观</w:t>
            </w:r>
          </w:p>
        </w:tc>
        <w:tc>
          <w:tcPr>
            <w:tcW w:w="7229" w:type="dxa"/>
            <w:vAlign w:val="center"/>
          </w:tcPr>
          <w:p>
            <w:pPr>
              <w:pStyle w:val="51"/>
              <w:widowControl w:val="0"/>
              <w:spacing w:line="240" w:lineRule="auto"/>
              <w:ind w:firstLine="0" w:firstLineChars="0"/>
              <w:rPr>
                <w:rFonts w:hint="eastAsia" w:ascii="仿宋" w:hAnsi="仿宋" w:eastAsia="仿宋"/>
                <w:sz w:val="28"/>
                <w:szCs w:val="28"/>
                <w:highlight w:val="yellow"/>
              </w:rPr>
            </w:pPr>
            <w:r>
              <w:rPr>
                <w:rFonts w:hint="eastAsia" w:ascii="仿宋" w:hAnsi="仿宋" w:eastAsia="仿宋"/>
                <w:sz w:val="28"/>
                <w:szCs w:val="28"/>
              </w:rPr>
              <w:t>林下种小麦等林-粮（经、牧）间作的生态农业景观、巴旦</w:t>
            </w:r>
            <w:r>
              <w:rPr>
                <w:rFonts w:hint="eastAsia" w:ascii="仿宋" w:hAnsi="仿宋" w:eastAsia="仿宋"/>
                <w:sz w:val="28"/>
                <w:szCs w:val="28"/>
                <w:lang w:eastAsia="zh-CN"/>
              </w:rPr>
              <w:t>姆</w:t>
            </w:r>
            <w:r>
              <w:rPr>
                <w:rFonts w:hint="eastAsia" w:ascii="仿宋" w:hAnsi="仿宋" w:eastAsia="仿宋"/>
                <w:sz w:val="28"/>
                <w:szCs w:val="28"/>
              </w:rPr>
              <w:t>古树群景观；巴旦</w:t>
            </w:r>
            <w:r>
              <w:rPr>
                <w:rFonts w:hint="eastAsia" w:ascii="仿宋" w:hAnsi="仿宋" w:eastAsia="仿宋"/>
                <w:sz w:val="28"/>
                <w:szCs w:val="28"/>
                <w:lang w:eastAsia="zh-CN"/>
              </w:rPr>
              <w:t>姆</w:t>
            </w:r>
            <w:r>
              <w:rPr>
                <w:rFonts w:hint="eastAsia" w:ascii="仿宋" w:hAnsi="仿宋" w:eastAsia="仿宋"/>
                <w:sz w:val="28"/>
                <w:szCs w:val="28"/>
              </w:rPr>
              <w:t>花海景观、莎车县老城民俗文化景观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555" w:type="dxa"/>
            <w:vAlign w:val="center"/>
          </w:tcPr>
          <w:p>
            <w:pPr>
              <w:spacing w:line="240" w:lineRule="auto"/>
              <w:ind w:firstLine="0" w:firstLineChars="0"/>
              <w:rPr>
                <w:rFonts w:hint="eastAsia" w:ascii="仿宋" w:hAnsi="仿宋" w:eastAsia="仿宋" w:cs="宋体"/>
                <w:b/>
                <w:bCs/>
                <w:kern w:val="0"/>
                <w:sz w:val="28"/>
                <w:szCs w:val="28"/>
              </w:rPr>
            </w:pPr>
            <w:r>
              <w:rPr>
                <w:rFonts w:hint="eastAsia" w:ascii="仿宋" w:hAnsi="仿宋" w:eastAsia="仿宋" w:cs="宋体"/>
                <w:b/>
                <w:bCs/>
                <w:kern w:val="0"/>
                <w:sz w:val="28"/>
                <w:szCs w:val="28"/>
              </w:rPr>
              <w:t>宅院村落</w:t>
            </w:r>
          </w:p>
        </w:tc>
        <w:tc>
          <w:tcPr>
            <w:tcW w:w="7229" w:type="dxa"/>
            <w:vAlign w:val="center"/>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莎车老城景区传统民居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1555" w:type="dxa"/>
            <w:vAlign w:val="center"/>
          </w:tcPr>
          <w:p>
            <w:pPr>
              <w:spacing w:line="240" w:lineRule="auto"/>
              <w:ind w:firstLine="0" w:firstLineChars="0"/>
              <w:rPr>
                <w:rFonts w:hint="eastAsia" w:ascii="仿宋" w:hAnsi="仿宋" w:eastAsia="仿宋" w:cs="宋体"/>
                <w:b/>
                <w:bCs/>
                <w:kern w:val="0"/>
                <w:sz w:val="28"/>
                <w:szCs w:val="28"/>
                <w:highlight w:val="yellow"/>
              </w:rPr>
            </w:pPr>
            <w:r>
              <w:rPr>
                <w:rFonts w:hint="eastAsia" w:ascii="仿宋" w:hAnsi="仿宋" w:eastAsia="仿宋" w:cs="宋体"/>
                <w:b/>
                <w:bCs/>
                <w:kern w:val="0"/>
                <w:sz w:val="28"/>
                <w:szCs w:val="28"/>
              </w:rPr>
              <w:t>节庆活动与乡风民俗</w:t>
            </w:r>
          </w:p>
        </w:tc>
        <w:tc>
          <w:tcPr>
            <w:tcW w:w="7229" w:type="dxa"/>
            <w:vAlign w:val="center"/>
          </w:tcPr>
          <w:p>
            <w:pPr>
              <w:pStyle w:val="51"/>
              <w:widowControl w:val="0"/>
              <w:spacing w:line="240" w:lineRule="auto"/>
              <w:ind w:firstLine="0" w:firstLineChars="0"/>
              <w:rPr>
                <w:rFonts w:hint="eastAsia" w:ascii="仿宋" w:hAnsi="仿宋" w:eastAsia="仿宋"/>
                <w:sz w:val="28"/>
                <w:szCs w:val="28"/>
                <w:highlight w:val="yellow"/>
              </w:rPr>
            </w:pPr>
            <w:r>
              <w:rPr>
                <w:rFonts w:hint="eastAsia" w:ascii="仿宋" w:hAnsi="仿宋" w:eastAsia="仿宋"/>
                <w:sz w:val="28"/>
                <w:szCs w:val="28"/>
              </w:rPr>
              <w:t>以诺鲁孜节为代表的农耕节庆；融合自然观赏与民俗文化盛会的</w:t>
            </w:r>
            <w:r>
              <w:rPr>
                <w:rFonts w:hint="eastAsia" w:ascii="仿宋" w:hAnsi="仿宋" w:eastAsia="仿宋"/>
                <w:sz w:val="28"/>
                <w:szCs w:val="28"/>
                <w:lang w:eastAsia="zh-CN"/>
              </w:rPr>
              <w:t>“</w:t>
            </w:r>
            <w:r>
              <w:rPr>
                <w:rFonts w:hint="eastAsia" w:ascii="仿宋" w:hAnsi="仿宋" w:eastAsia="仿宋"/>
                <w:sz w:val="28"/>
                <w:szCs w:val="28"/>
              </w:rPr>
              <w:t>巴旦</w:t>
            </w:r>
            <w:r>
              <w:rPr>
                <w:rFonts w:hint="eastAsia" w:ascii="仿宋" w:hAnsi="仿宋" w:eastAsia="仿宋"/>
                <w:sz w:val="28"/>
                <w:szCs w:val="28"/>
                <w:lang w:eastAsia="zh-CN"/>
              </w:rPr>
              <w:t>姆</w:t>
            </w:r>
            <w:r>
              <w:rPr>
                <w:rFonts w:hint="eastAsia" w:ascii="仿宋" w:hAnsi="仿宋" w:eastAsia="仿宋"/>
                <w:sz w:val="28"/>
                <w:szCs w:val="28"/>
              </w:rPr>
              <w:t>花</w:t>
            </w:r>
            <w:r>
              <w:rPr>
                <w:rFonts w:hint="eastAsia" w:ascii="仿宋" w:hAnsi="仿宋" w:eastAsia="仿宋"/>
                <w:sz w:val="28"/>
                <w:szCs w:val="28"/>
                <w:highlight w:val="none"/>
              </w:rPr>
              <w:t>节</w:t>
            </w:r>
            <w:r>
              <w:rPr>
                <w:rFonts w:hint="eastAsia" w:ascii="仿宋" w:hAnsi="仿宋" w:eastAsia="仿宋"/>
                <w:sz w:val="28"/>
                <w:szCs w:val="28"/>
                <w:highlight w:val="none"/>
                <w:lang w:eastAsia="zh-CN"/>
              </w:rPr>
              <w:t>”</w:t>
            </w:r>
            <w:r>
              <w:rPr>
                <w:rFonts w:hint="eastAsia" w:ascii="仿宋" w:hAnsi="仿宋" w:eastAsia="仿宋"/>
                <w:sz w:val="28"/>
                <w:szCs w:val="28"/>
                <w:highlight w:val="none"/>
              </w:rPr>
              <w:t>、民族特色肉孜节、古尔邦节、宝</w:t>
            </w:r>
            <w:r>
              <w:rPr>
                <w:rFonts w:hint="eastAsia" w:ascii="仿宋" w:hAnsi="仿宋" w:eastAsia="仿宋"/>
                <w:sz w:val="28"/>
                <w:szCs w:val="28"/>
              </w:rPr>
              <w:t>贵的十二</w:t>
            </w:r>
            <w:r>
              <w:rPr>
                <w:rFonts w:hint="eastAsia" w:ascii="仿宋" w:hAnsi="仿宋" w:eastAsia="仿宋"/>
                <w:sz w:val="28"/>
                <w:szCs w:val="28"/>
                <w:lang w:val="en-US" w:eastAsia="zh-CN"/>
              </w:rPr>
              <w:t>木</w:t>
            </w:r>
            <w:r>
              <w:rPr>
                <w:rFonts w:hint="eastAsia" w:ascii="仿宋" w:hAnsi="仿宋" w:eastAsia="仿宋"/>
                <w:sz w:val="28"/>
                <w:szCs w:val="28"/>
              </w:rPr>
              <w:t>卡</w:t>
            </w:r>
            <w:r>
              <w:rPr>
                <w:rFonts w:hint="eastAsia" w:ascii="仿宋" w:hAnsi="仿宋" w:eastAsia="仿宋"/>
                <w:sz w:val="28"/>
                <w:szCs w:val="28"/>
                <w:lang w:eastAsia="zh-CN"/>
              </w:rPr>
              <w:t>姆</w:t>
            </w:r>
            <w:r>
              <w:rPr>
                <w:rFonts w:hint="eastAsia" w:ascii="仿宋" w:hAnsi="仿宋" w:eastAsia="仿宋"/>
                <w:sz w:val="28"/>
                <w:szCs w:val="28"/>
              </w:rPr>
              <w:t>音乐舞蹈等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6" w:hRule="atLeast"/>
        </w:trPr>
        <w:tc>
          <w:tcPr>
            <w:tcW w:w="1555" w:type="dxa"/>
            <w:vAlign w:val="center"/>
          </w:tcPr>
          <w:p>
            <w:pPr>
              <w:spacing w:line="240" w:lineRule="auto"/>
              <w:ind w:firstLine="0" w:firstLineChars="0"/>
              <w:rPr>
                <w:rFonts w:hint="eastAsia" w:ascii="仿宋" w:hAnsi="仿宋" w:eastAsia="仿宋" w:cs="宋体"/>
                <w:b/>
                <w:bCs/>
                <w:kern w:val="0"/>
                <w:sz w:val="28"/>
                <w:szCs w:val="28"/>
              </w:rPr>
            </w:pPr>
            <w:r>
              <w:rPr>
                <w:rFonts w:hint="eastAsia" w:ascii="仿宋" w:hAnsi="仿宋" w:eastAsia="仿宋" w:cs="宋体"/>
                <w:b/>
                <w:bCs/>
                <w:kern w:val="0"/>
                <w:sz w:val="28"/>
                <w:szCs w:val="28"/>
              </w:rPr>
              <w:t>传统民间技艺</w:t>
            </w:r>
          </w:p>
        </w:tc>
        <w:tc>
          <w:tcPr>
            <w:tcW w:w="7229" w:type="dxa"/>
            <w:vAlign w:val="center"/>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巴旦</w:t>
            </w:r>
            <w:r>
              <w:rPr>
                <w:rFonts w:hint="eastAsia" w:ascii="仿宋" w:hAnsi="仿宋" w:eastAsia="仿宋"/>
                <w:sz w:val="28"/>
                <w:szCs w:val="28"/>
                <w:lang w:eastAsia="zh-CN"/>
              </w:rPr>
              <w:t>姆</w:t>
            </w:r>
            <w:r>
              <w:rPr>
                <w:rFonts w:hint="eastAsia" w:ascii="仿宋" w:hAnsi="仿宋" w:eastAsia="仿宋"/>
                <w:sz w:val="28"/>
                <w:szCs w:val="28"/>
              </w:rPr>
              <w:t>花帽等纺织刺绣技艺、维吾尔医药（食疗）、维吾尔族铜艺加工技艺、维吾尔族</w:t>
            </w:r>
            <w:r>
              <w:rPr>
                <w:rFonts w:hint="eastAsia" w:ascii="仿宋" w:hAnsi="仿宋" w:eastAsia="仿宋"/>
                <w:sz w:val="28"/>
                <w:szCs w:val="28"/>
                <w:lang w:eastAsia="zh-CN"/>
              </w:rPr>
              <w:t>木</w:t>
            </w:r>
            <w:r>
              <w:rPr>
                <w:rFonts w:hint="eastAsia" w:ascii="仿宋" w:hAnsi="仿宋" w:eastAsia="仿宋"/>
                <w:sz w:val="28"/>
                <w:szCs w:val="28"/>
              </w:rPr>
              <w:t>雕技艺、巴旦</w:t>
            </w:r>
            <w:r>
              <w:rPr>
                <w:rFonts w:hint="eastAsia" w:ascii="仿宋" w:hAnsi="仿宋" w:eastAsia="仿宋"/>
                <w:sz w:val="28"/>
                <w:szCs w:val="28"/>
                <w:lang w:eastAsia="zh-CN"/>
              </w:rPr>
              <w:t>姆</w:t>
            </w:r>
            <w:r>
              <w:rPr>
                <w:rFonts w:hint="eastAsia" w:ascii="仿宋" w:hAnsi="仿宋" w:eastAsia="仿宋"/>
                <w:sz w:val="28"/>
                <w:szCs w:val="28"/>
              </w:rPr>
              <w:t>相关食品制作技艺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1555" w:type="dxa"/>
            <w:vAlign w:val="center"/>
          </w:tcPr>
          <w:p>
            <w:pPr>
              <w:spacing w:line="240" w:lineRule="auto"/>
              <w:ind w:firstLine="0" w:firstLineChars="0"/>
              <w:rPr>
                <w:rFonts w:hint="eastAsia" w:ascii="仿宋" w:hAnsi="仿宋" w:eastAsia="仿宋" w:cs="宋体"/>
                <w:b/>
                <w:bCs/>
                <w:kern w:val="0"/>
                <w:sz w:val="28"/>
                <w:szCs w:val="28"/>
              </w:rPr>
            </w:pPr>
            <w:r>
              <w:rPr>
                <w:rFonts w:hint="eastAsia" w:ascii="仿宋" w:hAnsi="仿宋" w:eastAsia="仿宋" w:cs="宋体"/>
                <w:b/>
                <w:bCs/>
                <w:kern w:val="0"/>
                <w:sz w:val="28"/>
                <w:szCs w:val="28"/>
              </w:rPr>
              <w:t>传承人队伍</w:t>
            </w:r>
          </w:p>
        </w:tc>
        <w:tc>
          <w:tcPr>
            <w:tcW w:w="7229" w:type="dxa"/>
            <w:vAlign w:val="center"/>
          </w:tcPr>
          <w:p>
            <w:pPr>
              <w:spacing w:line="240" w:lineRule="auto"/>
              <w:ind w:firstLine="0" w:firstLineChars="0"/>
              <w:rPr>
                <w:rFonts w:hint="eastAsia" w:ascii="仿宋" w:hAnsi="仿宋" w:eastAsia="仿宋" w:cs="宋体"/>
                <w:kern w:val="0"/>
                <w:sz w:val="28"/>
                <w:szCs w:val="28"/>
              </w:rPr>
            </w:pPr>
            <w:r>
              <w:rPr>
                <w:rFonts w:hint="eastAsia" w:ascii="仿宋" w:hAnsi="仿宋" w:eastAsia="仿宋" w:cs="宋体"/>
                <w:kern w:val="0"/>
                <w:sz w:val="28"/>
                <w:szCs w:val="28"/>
              </w:rPr>
              <w:t>十二</w:t>
            </w:r>
            <w:r>
              <w:rPr>
                <w:rFonts w:hint="eastAsia" w:ascii="仿宋" w:hAnsi="仿宋" w:eastAsia="仿宋" w:cs="宋体"/>
                <w:kern w:val="0"/>
                <w:sz w:val="28"/>
                <w:szCs w:val="28"/>
                <w:lang w:val="en-US" w:eastAsia="zh-CN"/>
              </w:rPr>
              <w:t>木</w:t>
            </w:r>
            <w:r>
              <w:rPr>
                <w:rFonts w:hint="eastAsia" w:ascii="仿宋" w:hAnsi="仿宋" w:eastAsia="仿宋" w:cs="宋体"/>
                <w:kern w:val="0"/>
                <w:sz w:val="28"/>
                <w:szCs w:val="28"/>
              </w:rPr>
              <w:t>卡</w:t>
            </w:r>
            <w:r>
              <w:rPr>
                <w:rFonts w:hint="eastAsia" w:ascii="仿宋" w:hAnsi="仿宋" w:eastAsia="仿宋" w:cs="宋体"/>
                <w:kern w:val="0"/>
                <w:sz w:val="28"/>
                <w:szCs w:val="28"/>
                <w:lang w:eastAsia="zh-CN"/>
              </w:rPr>
              <w:t>姆</w:t>
            </w:r>
            <w:r>
              <w:rPr>
                <w:rFonts w:hint="eastAsia" w:ascii="仿宋" w:hAnsi="仿宋" w:eastAsia="仿宋" w:cs="宋体"/>
                <w:kern w:val="0"/>
                <w:sz w:val="28"/>
                <w:szCs w:val="28"/>
              </w:rPr>
              <w:t>、巴旦</w:t>
            </w:r>
            <w:r>
              <w:rPr>
                <w:rFonts w:hint="eastAsia" w:ascii="仿宋" w:hAnsi="仿宋" w:eastAsia="仿宋" w:cs="宋体"/>
                <w:kern w:val="0"/>
                <w:sz w:val="28"/>
                <w:szCs w:val="28"/>
                <w:lang w:eastAsia="zh-CN"/>
              </w:rPr>
              <w:t>姆</w:t>
            </w:r>
            <w:r>
              <w:rPr>
                <w:rFonts w:hint="eastAsia" w:ascii="仿宋" w:hAnsi="仿宋" w:eastAsia="仿宋" w:cs="宋体"/>
                <w:kern w:val="0"/>
                <w:sz w:val="28"/>
                <w:szCs w:val="28"/>
              </w:rPr>
              <w:t>花帽、铁艺加工技艺 民间</w:t>
            </w:r>
            <w:r>
              <w:rPr>
                <w:rFonts w:hint="eastAsia" w:ascii="仿宋" w:hAnsi="仿宋" w:eastAsia="仿宋" w:cs="宋体"/>
                <w:kern w:val="0"/>
                <w:sz w:val="28"/>
                <w:szCs w:val="28"/>
                <w:lang w:val="en-US" w:eastAsia="zh-CN"/>
              </w:rPr>
              <w:t>木</w:t>
            </w:r>
            <w:r>
              <w:rPr>
                <w:rFonts w:hint="eastAsia" w:ascii="仿宋" w:hAnsi="仿宋" w:eastAsia="仿宋" w:cs="宋体"/>
                <w:kern w:val="0"/>
                <w:sz w:val="28"/>
                <w:szCs w:val="28"/>
              </w:rPr>
              <w:t>雕技艺、铜器制作技艺、地毯制作技艺、维吾尔族医药（食疗）、民间传统铸锅业、民间传统葫芦绘画</w:t>
            </w:r>
          </w:p>
        </w:tc>
      </w:tr>
    </w:tbl>
    <w:p>
      <w:pPr>
        <w:spacing w:line="500" w:lineRule="exact"/>
        <w:ind w:firstLine="0" w:firstLineChars="0"/>
        <w:outlineLvl w:val="1"/>
        <w:rPr>
          <w:rFonts w:eastAsia="黑体" w:cs="Times New Roman"/>
          <w:sz w:val="30"/>
          <w:szCs w:val="30"/>
        </w:rPr>
      </w:pPr>
      <w:bookmarkStart w:id="15" w:name="_Toc224309337"/>
      <w:r>
        <w:rPr>
          <w:rFonts w:eastAsia="黑体" w:cs="Times New Roman"/>
          <w:sz w:val="30"/>
          <w:szCs w:val="30"/>
        </w:rPr>
        <w:t>附件</w:t>
      </w:r>
      <w:r>
        <w:rPr>
          <w:rFonts w:hint="eastAsia" w:eastAsia="黑体" w:cs="Times New Roman"/>
          <w:sz w:val="30"/>
          <w:szCs w:val="30"/>
        </w:rPr>
        <w:t>4</w:t>
      </w:r>
      <w:bookmarkEnd w:id="15"/>
    </w:p>
    <w:p>
      <w:pPr>
        <w:spacing w:after="217" w:afterLines="50" w:line="500" w:lineRule="exact"/>
        <w:ind w:firstLine="0" w:firstLineChars="0"/>
        <w:jc w:val="center"/>
        <w:rPr>
          <w:rFonts w:hint="eastAsia" w:ascii="仿宋" w:hAnsi="仿宋" w:eastAsia="仿宋" w:cs="华文中宋"/>
          <w:b/>
          <w:bCs/>
          <w:sz w:val="36"/>
          <w:szCs w:val="36"/>
        </w:rPr>
      </w:pPr>
      <w:r>
        <w:rPr>
          <w:rFonts w:hint="eastAsia" w:ascii="仿宋" w:hAnsi="仿宋" w:eastAsia="仿宋" w:cs="华文中宋"/>
          <w:b/>
          <w:bCs/>
          <w:sz w:val="36"/>
          <w:szCs w:val="36"/>
        </w:rPr>
        <w:t>农耕文化传承人名单</w:t>
      </w:r>
    </w:p>
    <w:tbl>
      <w:tblPr>
        <w:tblStyle w:val="25"/>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019"/>
        <w:gridCol w:w="680"/>
        <w:gridCol w:w="1255"/>
        <w:gridCol w:w="1502"/>
        <w:gridCol w:w="2083"/>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Borders>
              <w:top w:val="single" w:color="auto" w:sz="4" w:space="0"/>
            </w:tcBorders>
            <w:vAlign w:val="center"/>
          </w:tcPr>
          <w:p>
            <w:pPr>
              <w:snapToGrid w:val="0"/>
              <w:spacing w:line="240" w:lineRule="auto"/>
              <w:ind w:firstLine="0" w:firstLineChars="0"/>
              <w:jc w:val="center"/>
              <w:rPr>
                <w:rFonts w:hint="eastAsia" w:ascii="仿宋" w:hAnsi="仿宋" w:eastAsia="仿宋" w:cs="方正仿宋_GB2312"/>
                <w:b/>
                <w:bCs/>
                <w:color w:val="080808"/>
                <w:spacing w:val="-3"/>
                <w:kern w:val="0"/>
                <w:sz w:val="28"/>
                <w:szCs w:val="28"/>
              </w:rPr>
            </w:pPr>
            <w:bookmarkStart w:id="16" w:name="_Hlk222150062"/>
            <w:r>
              <w:rPr>
                <w:rFonts w:hint="eastAsia" w:ascii="仿宋" w:hAnsi="仿宋" w:eastAsia="仿宋" w:cs="方正仿宋_GB2312"/>
                <w:b/>
                <w:bCs/>
                <w:color w:val="080808"/>
                <w:spacing w:val="-3"/>
                <w:kern w:val="0"/>
                <w:sz w:val="28"/>
                <w:szCs w:val="28"/>
              </w:rPr>
              <w:t>姓名</w:t>
            </w:r>
          </w:p>
        </w:tc>
        <w:tc>
          <w:tcPr>
            <w:tcW w:w="1019" w:type="dxa"/>
            <w:tcBorders>
              <w:top w:val="single" w:color="auto" w:sz="4" w:space="0"/>
            </w:tcBorders>
            <w:vAlign w:val="center"/>
          </w:tcPr>
          <w:p>
            <w:pPr>
              <w:snapToGrid w:val="0"/>
              <w:spacing w:line="240" w:lineRule="auto"/>
              <w:ind w:firstLine="0" w:firstLineChars="0"/>
              <w:jc w:val="center"/>
              <w:rPr>
                <w:rFonts w:hint="eastAsia" w:ascii="仿宋" w:hAnsi="仿宋" w:eastAsia="仿宋" w:cs="方正仿宋_GB2312"/>
                <w:b/>
                <w:bCs/>
                <w:color w:val="080808"/>
                <w:spacing w:val="-3"/>
                <w:kern w:val="0"/>
                <w:sz w:val="28"/>
                <w:szCs w:val="28"/>
              </w:rPr>
            </w:pPr>
            <w:r>
              <w:rPr>
                <w:rFonts w:hint="eastAsia" w:ascii="仿宋" w:hAnsi="仿宋" w:eastAsia="仿宋" w:cs="方正仿宋_GB2312"/>
                <w:b/>
                <w:bCs/>
                <w:color w:val="080808"/>
                <w:spacing w:val="-3"/>
                <w:kern w:val="0"/>
                <w:sz w:val="28"/>
                <w:szCs w:val="28"/>
              </w:rPr>
              <w:t>出生年月</w:t>
            </w:r>
          </w:p>
        </w:tc>
        <w:tc>
          <w:tcPr>
            <w:tcW w:w="680" w:type="dxa"/>
            <w:tcBorders>
              <w:top w:val="single" w:color="auto" w:sz="4" w:space="0"/>
            </w:tcBorders>
            <w:vAlign w:val="center"/>
          </w:tcPr>
          <w:p>
            <w:pPr>
              <w:snapToGrid w:val="0"/>
              <w:spacing w:line="240" w:lineRule="auto"/>
              <w:ind w:firstLine="0" w:firstLineChars="0"/>
              <w:jc w:val="center"/>
              <w:rPr>
                <w:rFonts w:hint="eastAsia" w:ascii="仿宋" w:hAnsi="仿宋" w:eastAsia="仿宋" w:cs="方正仿宋_GB2312"/>
                <w:b/>
                <w:bCs/>
                <w:color w:val="080808"/>
                <w:spacing w:val="-3"/>
                <w:kern w:val="0"/>
                <w:sz w:val="28"/>
                <w:szCs w:val="28"/>
              </w:rPr>
            </w:pPr>
            <w:r>
              <w:rPr>
                <w:rFonts w:hint="eastAsia" w:ascii="仿宋" w:hAnsi="仿宋" w:eastAsia="仿宋" w:cs="方正仿宋_GB2312"/>
                <w:b/>
                <w:bCs/>
                <w:color w:val="080808"/>
                <w:spacing w:val="-3"/>
                <w:kern w:val="0"/>
                <w:sz w:val="28"/>
                <w:szCs w:val="28"/>
              </w:rPr>
              <w:t>文化程度</w:t>
            </w:r>
          </w:p>
        </w:tc>
        <w:tc>
          <w:tcPr>
            <w:tcW w:w="1255" w:type="dxa"/>
            <w:tcBorders>
              <w:top w:val="single" w:color="auto" w:sz="4" w:space="0"/>
            </w:tcBorders>
            <w:vAlign w:val="center"/>
          </w:tcPr>
          <w:p>
            <w:pPr>
              <w:snapToGrid w:val="0"/>
              <w:spacing w:line="240" w:lineRule="auto"/>
              <w:ind w:firstLine="0" w:firstLineChars="0"/>
              <w:jc w:val="center"/>
              <w:rPr>
                <w:rFonts w:hint="eastAsia" w:ascii="仿宋" w:hAnsi="仿宋" w:eastAsia="仿宋" w:cs="方正仿宋_GB2312"/>
                <w:b/>
                <w:bCs/>
                <w:color w:val="080808"/>
                <w:spacing w:val="-3"/>
                <w:kern w:val="0"/>
                <w:sz w:val="28"/>
                <w:szCs w:val="28"/>
              </w:rPr>
            </w:pPr>
            <w:r>
              <w:rPr>
                <w:rFonts w:hint="eastAsia" w:ascii="仿宋" w:hAnsi="仿宋" w:eastAsia="仿宋" w:cs="方正仿宋_GB2312"/>
                <w:b/>
                <w:bCs/>
                <w:color w:val="080808"/>
                <w:spacing w:val="-3"/>
                <w:kern w:val="0"/>
                <w:sz w:val="28"/>
                <w:szCs w:val="28"/>
              </w:rPr>
              <w:t>传承技艺名称</w:t>
            </w:r>
          </w:p>
        </w:tc>
        <w:tc>
          <w:tcPr>
            <w:tcW w:w="1502" w:type="dxa"/>
            <w:tcBorders>
              <w:top w:val="single" w:color="auto" w:sz="4" w:space="0"/>
            </w:tcBorders>
            <w:vAlign w:val="center"/>
          </w:tcPr>
          <w:p>
            <w:pPr>
              <w:snapToGrid w:val="0"/>
              <w:spacing w:line="240" w:lineRule="auto"/>
              <w:ind w:firstLine="0" w:firstLineChars="0"/>
              <w:jc w:val="center"/>
              <w:rPr>
                <w:rFonts w:hint="eastAsia" w:ascii="仿宋" w:hAnsi="仿宋" w:eastAsia="仿宋" w:cs="方正仿宋_GB2312"/>
                <w:b/>
                <w:bCs/>
                <w:spacing w:val="-3"/>
                <w:kern w:val="0"/>
                <w:sz w:val="28"/>
                <w:szCs w:val="28"/>
              </w:rPr>
            </w:pPr>
            <w:r>
              <w:rPr>
                <w:rFonts w:hint="eastAsia" w:ascii="仿宋" w:hAnsi="仿宋" w:eastAsia="仿宋" w:cs="方正仿宋_GB2312"/>
                <w:b/>
                <w:bCs/>
                <w:spacing w:val="-3"/>
                <w:kern w:val="0"/>
                <w:sz w:val="28"/>
                <w:szCs w:val="28"/>
              </w:rPr>
              <w:t>种植规模（亩）/非遗级别</w:t>
            </w:r>
          </w:p>
        </w:tc>
        <w:tc>
          <w:tcPr>
            <w:tcW w:w="2083" w:type="dxa"/>
            <w:tcBorders>
              <w:top w:val="single" w:color="auto" w:sz="4" w:space="0"/>
            </w:tcBorders>
            <w:vAlign w:val="center"/>
          </w:tcPr>
          <w:p>
            <w:pPr>
              <w:snapToGrid w:val="0"/>
              <w:spacing w:line="240" w:lineRule="auto"/>
              <w:ind w:firstLine="0" w:firstLineChars="0"/>
              <w:jc w:val="center"/>
              <w:rPr>
                <w:rFonts w:hint="eastAsia" w:ascii="仿宋" w:hAnsi="仿宋" w:eastAsia="仿宋" w:cs="方正仿宋_GB2312"/>
                <w:b/>
                <w:bCs/>
                <w:spacing w:val="-3"/>
                <w:kern w:val="0"/>
                <w:sz w:val="28"/>
                <w:szCs w:val="28"/>
              </w:rPr>
            </w:pPr>
            <w:r>
              <w:rPr>
                <w:rFonts w:hint="eastAsia" w:ascii="仿宋" w:hAnsi="仿宋" w:eastAsia="仿宋" w:cs="方正仿宋_GB2312"/>
                <w:b/>
                <w:bCs/>
                <w:spacing w:val="-3"/>
                <w:kern w:val="0"/>
                <w:sz w:val="28"/>
                <w:szCs w:val="28"/>
              </w:rPr>
              <w:t>所在村庄/社区</w:t>
            </w:r>
          </w:p>
        </w:tc>
        <w:tc>
          <w:tcPr>
            <w:tcW w:w="1463" w:type="dxa"/>
            <w:tcBorders>
              <w:top w:val="single" w:color="auto" w:sz="4" w:space="0"/>
            </w:tcBorders>
            <w:vAlign w:val="center"/>
          </w:tcPr>
          <w:p>
            <w:pPr>
              <w:snapToGrid w:val="0"/>
              <w:spacing w:line="240" w:lineRule="auto"/>
              <w:ind w:firstLine="0" w:firstLineChars="0"/>
              <w:jc w:val="center"/>
              <w:rPr>
                <w:rFonts w:hint="eastAsia" w:ascii="仿宋" w:hAnsi="仿宋" w:eastAsia="仿宋" w:cs="方正仿宋_GB2312"/>
                <w:b/>
                <w:bCs/>
                <w:color w:val="080808"/>
                <w:spacing w:val="-3"/>
                <w:kern w:val="0"/>
                <w:sz w:val="28"/>
                <w:szCs w:val="28"/>
              </w:rPr>
            </w:pPr>
            <w:r>
              <w:rPr>
                <w:rFonts w:hint="eastAsia" w:ascii="仿宋" w:hAnsi="仿宋" w:eastAsia="仿宋" w:cs="方正仿宋_GB2312"/>
                <w:b/>
                <w:bCs/>
                <w:color w:val="080808"/>
                <w:spacing w:val="-3"/>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阿布都喀迪尔·麦合</w:t>
            </w:r>
            <w:r>
              <w:rPr>
                <w:rFonts w:hint="eastAsia" w:ascii="仿宋" w:hAnsi="仿宋" w:eastAsia="仿宋" w:cs="方正仿宋_GB2312"/>
                <w:spacing w:val="-3"/>
                <w:kern w:val="0"/>
                <w:sz w:val="28"/>
                <w:szCs w:val="28"/>
                <w:lang w:val="en-US" w:eastAsia="zh-CN"/>
              </w:rPr>
              <w:t>木</w:t>
            </w:r>
            <w:r>
              <w:rPr>
                <w:rFonts w:hint="eastAsia" w:ascii="仿宋" w:hAnsi="仿宋" w:eastAsia="仿宋" w:cs="方正仿宋_GB2312"/>
                <w:spacing w:val="-3"/>
                <w:kern w:val="0"/>
                <w:sz w:val="28"/>
                <w:szCs w:val="28"/>
              </w:rPr>
              <w:t>提</w:t>
            </w:r>
          </w:p>
        </w:tc>
        <w:tc>
          <w:tcPr>
            <w:tcW w:w="1019"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1966年5月</w:t>
            </w:r>
          </w:p>
        </w:tc>
        <w:tc>
          <w:tcPr>
            <w:tcW w:w="680"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初中</w:t>
            </w:r>
          </w:p>
        </w:tc>
        <w:tc>
          <w:tcPr>
            <w:tcW w:w="1255"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巴旦</w:t>
            </w:r>
            <w:r>
              <w:rPr>
                <w:rFonts w:hint="eastAsia" w:ascii="仿宋" w:hAnsi="仿宋" w:eastAsia="仿宋" w:cs="方正仿宋_GB2312"/>
                <w:spacing w:val="-3"/>
                <w:kern w:val="0"/>
                <w:sz w:val="28"/>
                <w:szCs w:val="28"/>
                <w:lang w:eastAsia="zh-CN"/>
              </w:rPr>
              <w:t>姆</w:t>
            </w:r>
            <w:r>
              <w:rPr>
                <w:rFonts w:hint="eastAsia" w:ascii="仿宋" w:hAnsi="仿宋" w:eastAsia="仿宋" w:cs="方正仿宋_GB2312"/>
                <w:spacing w:val="-3"/>
                <w:kern w:val="0"/>
                <w:sz w:val="28"/>
                <w:szCs w:val="28"/>
              </w:rPr>
              <w:t>生态种植能手</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18</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阔纳阿日希8村</w:t>
            </w:r>
          </w:p>
        </w:tc>
        <w:tc>
          <w:tcPr>
            <w:tcW w:w="146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18399603502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艾海提·达吾提</w:t>
            </w:r>
          </w:p>
        </w:tc>
        <w:tc>
          <w:tcPr>
            <w:tcW w:w="1019"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1965年3月</w:t>
            </w:r>
          </w:p>
        </w:tc>
        <w:tc>
          <w:tcPr>
            <w:tcW w:w="680"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初中</w:t>
            </w:r>
          </w:p>
        </w:tc>
        <w:tc>
          <w:tcPr>
            <w:tcW w:w="1255"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巴旦</w:t>
            </w:r>
            <w:r>
              <w:rPr>
                <w:rFonts w:hint="eastAsia" w:ascii="仿宋" w:hAnsi="仿宋" w:eastAsia="仿宋" w:cs="方正仿宋_GB2312"/>
                <w:spacing w:val="-3"/>
                <w:kern w:val="0"/>
                <w:sz w:val="28"/>
                <w:szCs w:val="28"/>
                <w:lang w:eastAsia="zh-CN"/>
              </w:rPr>
              <w:t>姆</w:t>
            </w:r>
            <w:r>
              <w:rPr>
                <w:rFonts w:hint="eastAsia" w:ascii="仿宋" w:hAnsi="仿宋" w:eastAsia="仿宋" w:cs="方正仿宋_GB2312"/>
                <w:spacing w:val="-3"/>
                <w:kern w:val="0"/>
                <w:sz w:val="28"/>
                <w:szCs w:val="28"/>
              </w:rPr>
              <w:t>生态种植能手</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23</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库</w:t>
            </w:r>
            <w:r>
              <w:rPr>
                <w:rFonts w:hint="eastAsia" w:ascii="仿宋" w:hAnsi="仿宋" w:eastAsia="仿宋" w:cs="方正仿宋_GB2312"/>
                <w:spacing w:val="-3"/>
                <w:kern w:val="0"/>
                <w:sz w:val="28"/>
                <w:szCs w:val="28"/>
                <w:lang w:val="en-US" w:eastAsia="zh-CN"/>
              </w:rPr>
              <w:t>木</w:t>
            </w:r>
            <w:r>
              <w:rPr>
                <w:rFonts w:hint="eastAsia" w:ascii="仿宋" w:hAnsi="仿宋" w:eastAsia="仿宋" w:cs="方正仿宋_GB2312"/>
                <w:spacing w:val="-3"/>
                <w:kern w:val="0"/>
                <w:sz w:val="28"/>
                <w:szCs w:val="28"/>
              </w:rPr>
              <w:t>库勒13村</w:t>
            </w:r>
          </w:p>
        </w:tc>
        <w:tc>
          <w:tcPr>
            <w:tcW w:w="146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15199355044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阿提汗·麦合</w:t>
            </w:r>
            <w:r>
              <w:rPr>
                <w:rFonts w:hint="eastAsia" w:ascii="仿宋" w:hAnsi="仿宋" w:eastAsia="仿宋"/>
                <w:sz w:val="28"/>
                <w:szCs w:val="28"/>
                <w:lang w:val="en-US" w:eastAsia="zh-CN"/>
              </w:rPr>
              <w:t>木</w:t>
            </w:r>
            <w:r>
              <w:rPr>
                <w:rFonts w:hint="eastAsia" w:ascii="仿宋" w:hAnsi="仿宋" w:eastAsia="仿宋"/>
                <w:sz w:val="28"/>
                <w:szCs w:val="28"/>
              </w:rPr>
              <w:t>提</w:t>
            </w:r>
          </w:p>
        </w:tc>
        <w:tc>
          <w:tcPr>
            <w:tcW w:w="1019"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1973年10月</w:t>
            </w:r>
          </w:p>
        </w:tc>
        <w:tc>
          <w:tcPr>
            <w:tcW w:w="680"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初中</w:t>
            </w:r>
          </w:p>
        </w:tc>
        <w:tc>
          <w:tcPr>
            <w:tcW w:w="1255"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巴旦</w:t>
            </w:r>
            <w:r>
              <w:rPr>
                <w:rFonts w:hint="eastAsia" w:ascii="仿宋" w:hAnsi="仿宋" w:eastAsia="仿宋" w:cs="方正仿宋_GB2312"/>
                <w:spacing w:val="-3"/>
                <w:kern w:val="0"/>
                <w:sz w:val="28"/>
                <w:szCs w:val="28"/>
                <w:lang w:eastAsia="zh-CN"/>
              </w:rPr>
              <w:t>姆</w:t>
            </w:r>
            <w:r>
              <w:rPr>
                <w:rFonts w:hint="eastAsia" w:ascii="仿宋" w:hAnsi="仿宋" w:eastAsia="仿宋" w:cs="方正仿宋_GB2312"/>
                <w:spacing w:val="-3"/>
                <w:kern w:val="0"/>
                <w:sz w:val="28"/>
                <w:szCs w:val="28"/>
              </w:rPr>
              <w:t>生态种植能手</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13</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库吾其村</w:t>
            </w:r>
          </w:p>
        </w:tc>
        <w:tc>
          <w:tcPr>
            <w:tcW w:w="146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18134869006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Pr>
          <w:p>
            <w:pPr>
              <w:snapToGrid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尼亚孜麦麦提·马</w:t>
            </w:r>
            <w:r>
              <w:rPr>
                <w:rFonts w:hint="eastAsia" w:ascii="仿宋" w:hAnsi="仿宋" w:eastAsia="仿宋"/>
                <w:sz w:val="28"/>
                <w:szCs w:val="28"/>
                <w:lang w:val="en-US" w:eastAsia="zh-CN"/>
              </w:rPr>
              <w:t>木</w:t>
            </w:r>
            <w:r>
              <w:rPr>
                <w:rFonts w:hint="eastAsia" w:ascii="仿宋" w:hAnsi="仿宋" w:eastAsia="仿宋"/>
                <w:sz w:val="28"/>
                <w:szCs w:val="28"/>
              </w:rPr>
              <w:t>提</w:t>
            </w:r>
          </w:p>
        </w:tc>
        <w:tc>
          <w:tcPr>
            <w:tcW w:w="1019" w:type="dxa"/>
          </w:tcPr>
          <w:p>
            <w:pPr>
              <w:snapToGrid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1969年5月</w:t>
            </w:r>
          </w:p>
        </w:tc>
        <w:tc>
          <w:tcPr>
            <w:tcW w:w="680" w:type="dxa"/>
          </w:tcPr>
          <w:p>
            <w:pPr>
              <w:snapToGrid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初中</w:t>
            </w:r>
          </w:p>
        </w:tc>
        <w:tc>
          <w:tcPr>
            <w:tcW w:w="1255" w:type="dxa"/>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巴旦</w:t>
            </w:r>
            <w:r>
              <w:rPr>
                <w:rFonts w:hint="eastAsia" w:ascii="仿宋" w:hAnsi="仿宋" w:eastAsia="仿宋" w:cs="方正仿宋_GB2312"/>
                <w:spacing w:val="-3"/>
                <w:kern w:val="0"/>
                <w:sz w:val="28"/>
                <w:szCs w:val="28"/>
                <w:lang w:eastAsia="zh-CN"/>
              </w:rPr>
              <w:t>姆</w:t>
            </w:r>
            <w:r>
              <w:rPr>
                <w:rFonts w:hint="eastAsia" w:ascii="仿宋" w:hAnsi="仿宋" w:eastAsia="仿宋" w:cs="方正仿宋_GB2312"/>
                <w:spacing w:val="-3"/>
                <w:kern w:val="0"/>
                <w:sz w:val="28"/>
                <w:szCs w:val="28"/>
              </w:rPr>
              <w:t>生态种植能手</w:t>
            </w:r>
          </w:p>
        </w:tc>
        <w:tc>
          <w:tcPr>
            <w:tcW w:w="1502" w:type="dxa"/>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14.5</w:t>
            </w:r>
          </w:p>
        </w:tc>
        <w:tc>
          <w:tcPr>
            <w:tcW w:w="2083" w:type="dxa"/>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巴依都维12村3组</w:t>
            </w:r>
          </w:p>
        </w:tc>
        <w:tc>
          <w:tcPr>
            <w:tcW w:w="1463" w:type="dxa"/>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18799516311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39" w:type="dxa"/>
          </w:tcPr>
          <w:p>
            <w:pPr>
              <w:snapToGrid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如则尼亚孜·吾舒尔</w:t>
            </w:r>
          </w:p>
        </w:tc>
        <w:tc>
          <w:tcPr>
            <w:tcW w:w="1019" w:type="dxa"/>
          </w:tcPr>
          <w:p>
            <w:pPr>
              <w:snapToGrid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1989年9月</w:t>
            </w:r>
          </w:p>
        </w:tc>
        <w:tc>
          <w:tcPr>
            <w:tcW w:w="680" w:type="dxa"/>
          </w:tcPr>
          <w:p>
            <w:pPr>
              <w:snapToGrid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初中</w:t>
            </w:r>
          </w:p>
        </w:tc>
        <w:tc>
          <w:tcPr>
            <w:tcW w:w="1255" w:type="dxa"/>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巴旦</w:t>
            </w:r>
            <w:r>
              <w:rPr>
                <w:rFonts w:hint="eastAsia" w:ascii="仿宋" w:hAnsi="仿宋" w:eastAsia="仿宋" w:cs="方正仿宋_GB2312"/>
                <w:spacing w:val="-3"/>
                <w:kern w:val="0"/>
                <w:sz w:val="28"/>
                <w:szCs w:val="28"/>
                <w:lang w:eastAsia="zh-CN"/>
              </w:rPr>
              <w:t>姆</w:t>
            </w:r>
            <w:r>
              <w:rPr>
                <w:rFonts w:hint="eastAsia" w:ascii="仿宋" w:hAnsi="仿宋" w:eastAsia="仿宋" w:cs="方正仿宋_GB2312"/>
                <w:spacing w:val="-3"/>
                <w:kern w:val="0"/>
                <w:sz w:val="28"/>
                <w:szCs w:val="28"/>
              </w:rPr>
              <w:t>生态种植能手</w:t>
            </w:r>
          </w:p>
        </w:tc>
        <w:tc>
          <w:tcPr>
            <w:tcW w:w="1502" w:type="dxa"/>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10</w:t>
            </w:r>
          </w:p>
        </w:tc>
        <w:tc>
          <w:tcPr>
            <w:tcW w:w="2083" w:type="dxa"/>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阿孜干巴格14村2组</w:t>
            </w:r>
          </w:p>
        </w:tc>
        <w:tc>
          <w:tcPr>
            <w:tcW w:w="1463" w:type="dxa"/>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cs="方正仿宋_GB2312"/>
                <w:spacing w:val="-3"/>
                <w:kern w:val="0"/>
                <w:sz w:val="28"/>
                <w:szCs w:val="28"/>
              </w:rPr>
              <w:t>15276097984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于苏普·托合提</w:t>
            </w:r>
          </w:p>
        </w:tc>
        <w:tc>
          <w:tcPr>
            <w:tcW w:w="101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1952年4月</w:t>
            </w:r>
          </w:p>
        </w:tc>
        <w:tc>
          <w:tcPr>
            <w:tcW w:w="680"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初中</w:t>
            </w:r>
          </w:p>
        </w:tc>
        <w:tc>
          <w:tcPr>
            <w:tcW w:w="1255"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lang w:eastAsia="zh-CN"/>
              </w:rPr>
            </w:pPr>
            <w:r>
              <w:rPr>
                <w:rFonts w:hint="eastAsia" w:ascii="仿宋" w:hAnsi="仿宋" w:eastAsia="仿宋"/>
                <w:sz w:val="28"/>
                <w:szCs w:val="28"/>
              </w:rPr>
              <w:t>十二</w:t>
            </w:r>
            <w:r>
              <w:rPr>
                <w:rFonts w:hint="eastAsia" w:ascii="仿宋" w:hAnsi="仿宋" w:eastAsia="仿宋"/>
                <w:sz w:val="28"/>
                <w:szCs w:val="28"/>
                <w:lang w:val="en-US" w:eastAsia="zh-CN"/>
              </w:rPr>
              <w:t>木</w:t>
            </w:r>
            <w:r>
              <w:rPr>
                <w:rFonts w:hint="eastAsia" w:ascii="仿宋" w:hAnsi="仿宋" w:eastAsia="仿宋"/>
                <w:sz w:val="28"/>
                <w:szCs w:val="28"/>
              </w:rPr>
              <w:t>卡</w:t>
            </w:r>
            <w:r>
              <w:rPr>
                <w:rFonts w:hint="eastAsia" w:ascii="仿宋" w:hAnsi="仿宋" w:eastAsia="仿宋"/>
                <w:sz w:val="28"/>
                <w:szCs w:val="28"/>
                <w:lang w:eastAsia="zh-CN"/>
              </w:rPr>
              <w:t>姆</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国家级</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莎车镇恰萨路4组28号 蓝鸽子2期27号楼3单元202号</w:t>
            </w:r>
          </w:p>
        </w:tc>
        <w:tc>
          <w:tcPr>
            <w:tcW w:w="1463"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13779887618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萨热古力·艾尔西丁</w:t>
            </w:r>
          </w:p>
        </w:tc>
        <w:tc>
          <w:tcPr>
            <w:tcW w:w="101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1972年11月</w:t>
            </w:r>
          </w:p>
        </w:tc>
        <w:tc>
          <w:tcPr>
            <w:tcW w:w="680"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小学</w:t>
            </w:r>
          </w:p>
        </w:tc>
        <w:tc>
          <w:tcPr>
            <w:tcW w:w="1255"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巴旦</w:t>
            </w:r>
            <w:r>
              <w:rPr>
                <w:rFonts w:hint="eastAsia" w:ascii="仿宋" w:hAnsi="仿宋" w:eastAsia="仿宋"/>
                <w:sz w:val="28"/>
                <w:szCs w:val="28"/>
                <w:lang w:eastAsia="zh-CN"/>
              </w:rPr>
              <w:t>姆</w:t>
            </w:r>
            <w:r>
              <w:rPr>
                <w:rFonts w:hint="eastAsia" w:ascii="仿宋" w:hAnsi="仿宋" w:eastAsia="仿宋"/>
                <w:sz w:val="28"/>
                <w:szCs w:val="28"/>
              </w:rPr>
              <w:t>花帽</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县级</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城中街道巴格麦勒社区</w:t>
            </w:r>
          </w:p>
        </w:tc>
        <w:tc>
          <w:tcPr>
            <w:tcW w:w="1463"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17590334546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173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lang w:val="en-US" w:eastAsia="zh-CN"/>
              </w:rPr>
            </w:pPr>
            <w:r>
              <w:rPr>
                <w:rFonts w:hint="eastAsia" w:ascii="仿宋" w:hAnsi="仿宋" w:eastAsia="仿宋"/>
                <w:sz w:val="28"/>
                <w:szCs w:val="28"/>
              </w:rPr>
              <w:t>伊敏·热依</w:t>
            </w:r>
            <w:r>
              <w:rPr>
                <w:rFonts w:hint="eastAsia" w:ascii="仿宋" w:hAnsi="仿宋" w:eastAsia="仿宋"/>
                <w:sz w:val="28"/>
                <w:szCs w:val="28"/>
                <w:lang w:val="en-US" w:eastAsia="zh-CN"/>
              </w:rPr>
              <w:t>木</w:t>
            </w:r>
          </w:p>
        </w:tc>
        <w:tc>
          <w:tcPr>
            <w:tcW w:w="101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1969年7月</w:t>
            </w:r>
          </w:p>
        </w:tc>
        <w:tc>
          <w:tcPr>
            <w:tcW w:w="680"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小学</w:t>
            </w:r>
          </w:p>
        </w:tc>
        <w:tc>
          <w:tcPr>
            <w:tcW w:w="1255"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铁艺加工技艺</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县级</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城东街道古城社区1组170号</w:t>
            </w:r>
          </w:p>
        </w:tc>
        <w:tc>
          <w:tcPr>
            <w:tcW w:w="1463"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13399774374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艾麦尔·达吾提</w:t>
            </w:r>
          </w:p>
        </w:tc>
        <w:tc>
          <w:tcPr>
            <w:tcW w:w="101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1952年1月</w:t>
            </w:r>
          </w:p>
        </w:tc>
        <w:tc>
          <w:tcPr>
            <w:tcW w:w="680"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初中</w:t>
            </w:r>
          </w:p>
        </w:tc>
        <w:tc>
          <w:tcPr>
            <w:tcW w:w="1255"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民间</w:t>
            </w:r>
            <w:r>
              <w:rPr>
                <w:rFonts w:hint="eastAsia" w:ascii="仿宋" w:hAnsi="仿宋" w:eastAsia="仿宋"/>
                <w:sz w:val="28"/>
                <w:szCs w:val="28"/>
                <w:lang w:val="en-US" w:eastAsia="zh-CN"/>
              </w:rPr>
              <w:t>木</w:t>
            </w:r>
            <w:r>
              <w:rPr>
                <w:rFonts w:hint="eastAsia" w:ascii="仿宋" w:hAnsi="仿宋" w:eastAsia="仿宋"/>
                <w:sz w:val="28"/>
                <w:szCs w:val="28"/>
              </w:rPr>
              <w:t>制品加工技艺</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县级</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城西街道建设路社区</w:t>
            </w:r>
          </w:p>
        </w:tc>
        <w:tc>
          <w:tcPr>
            <w:tcW w:w="1463"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18196837794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吐尔孙·麦麦提</w:t>
            </w:r>
          </w:p>
        </w:tc>
        <w:tc>
          <w:tcPr>
            <w:tcW w:w="101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1963年10月</w:t>
            </w:r>
          </w:p>
        </w:tc>
        <w:tc>
          <w:tcPr>
            <w:tcW w:w="680"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初中</w:t>
            </w:r>
          </w:p>
        </w:tc>
        <w:tc>
          <w:tcPr>
            <w:tcW w:w="1255"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铜器制作技艺</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县级</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城东街道老城社区2组14号</w:t>
            </w:r>
          </w:p>
        </w:tc>
        <w:tc>
          <w:tcPr>
            <w:tcW w:w="1463"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13279721175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lang w:val="en-US" w:eastAsia="zh-CN"/>
              </w:rPr>
            </w:pPr>
            <w:r>
              <w:rPr>
                <w:rFonts w:hint="eastAsia" w:ascii="仿宋" w:hAnsi="仿宋" w:eastAsia="仿宋"/>
                <w:sz w:val="28"/>
                <w:szCs w:val="28"/>
              </w:rPr>
              <w:t>阿布都克力</w:t>
            </w:r>
            <w:r>
              <w:rPr>
                <w:rFonts w:hint="eastAsia" w:ascii="仿宋" w:hAnsi="仿宋" w:eastAsia="仿宋"/>
                <w:sz w:val="28"/>
                <w:szCs w:val="28"/>
                <w:lang w:val="en-US" w:eastAsia="zh-CN"/>
              </w:rPr>
              <w:t>木</w:t>
            </w:r>
            <w:r>
              <w:rPr>
                <w:rFonts w:hint="eastAsia" w:ascii="仿宋" w:hAnsi="仿宋" w:eastAsia="仿宋"/>
                <w:sz w:val="28"/>
                <w:szCs w:val="28"/>
              </w:rPr>
              <w:t>·阿布都热</w:t>
            </w:r>
            <w:r>
              <w:rPr>
                <w:rFonts w:hint="eastAsia" w:ascii="仿宋" w:hAnsi="仿宋" w:eastAsia="仿宋"/>
                <w:sz w:val="28"/>
                <w:szCs w:val="28"/>
                <w:lang w:val="en-US" w:eastAsia="zh-CN"/>
              </w:rPr>
              <w:t>木</w:t>
            </w:r>
          </w:p>
        </w:tc>
        <w:tc>
          <w:tcPr>
            <w:tcW w:w="101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1963年12月</w:t>
            </w:r>
          </w:p>
        </w:tc>
        <w:tc>
          <w:tcPr>
            <w:tcW w:w="680"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大专</w:t>
            </w:r>
          </w:p>
        </w:tc>
        <w:tc>
          <w:tcPr>
            <w:tcW w:w="1255"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维吾尔族医药（食疗）</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国家级</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莎车镇巴格恰阿力迪路11组130号</w:t>
            </w:r>
          </w:p>
        </w:tc>
        <w:tc>
          <w:tcPr>
            <w:tcW w:w="1463"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13899111474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阿布都萨拉</w:t>
            </w:r>
            <w:r>
              <w:rPr>
                <w:rFonts w:hint="eastAsia" w:ascii="仿宋" w:hAnsi="仿宋" w:eastAsia="仿宋"/>
                <w:sz w:val="28"/>
                <w:szCs w:val="28"/>
                <w:lang w:val="en-US" w:eastAsia="zh-CN"/>
              </w:rPr>
              <w:t>木</w:t>
            </w:r>
            <w:r>
              <w:rPr>
                <w:rFonts w:hint="eastAsia" w:ascii="仿宋" w:hAnsi="仿宋" w:eastAsia="仿宋"/>
                <w:sz w:val="28"/>
                <w:szCs w:val="28"/>
              </w:rPr>
              <w:t>·托合提尼亚孜</w:t>
            </w:r>
          </w:p>
        </w:tc>
        <w:tc>
          <w:tcPr>
            <w:tcW w:w="101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1963年12月</w:t>
            </w:r>
          </w:p>
        </w:tc>
        <w:tc>
          <w:tcPr>
            <w:tcW w:w="680"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高中</w:t>
            </w:r>
          </w:p>
        </w:tc>
        <w:tc>
          <w:tcPr>
            <w:tcW w:w="1255"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民间传统铸锅业</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县级</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莎车镇丝绸社区喀赞其路55号院015号</w:t>
            </w:r>
          </w:p>
        </w:tc>
        <w:tc>
          <w:tcPr>
            <w:tcW w:w="1463"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18699842376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麦麦提图尔荪·亚库普</w:t>
            </w:r>
          </w:p>
        </w:tc>
        <w:tc>
          <w:tcPr>
            <w:tcW w:w="1019"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1970年11月</w:t>
            </w:r>
          </w:p>
        </w:tc>
        <w:tc>
          <w:tcPr>
            <w:tcW w:w="680"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高中</w:t>
            </w:r>
          </w:p>
        </w:tc>
        <w:tc>
          <w:tcPr>
            <w:tcW w:w="1255"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民间传统葫芦绘画</w:t>
            </w:r>
          </w:p>
        </w:tc>
        <w:tc>
          <w:tcPr>
            <w:tcW w:w="1502"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县级</w:t>
            </w:r>
          </w:p>
        </w:tc>
        <w:tc>
          <w:tcPr>
            <w:tcW w:w="2083" w:type="dxa"/>
            <w:vAlign w:val="center"/>
          </w:tcPr>
          <w:p>
            <w:pPr>
              <w:snapToGrid w:val="0"/>
              <w:spacing w:line="240" w:lineRule="auto"/>
              <w:ind w:firstLine="0" w:firstLineChars="0"/>
              <w:jc w:val="center"/>
              <w:rPr>
                <w:rFonts w:hint="eastAsia" w:ascii="仿宋" w:hAnsi="仿宋" w:eastAsia="仿宋" w:cs="方正仿宋_GB2312"/>
                <w:spacing w:val="-3"/>
                <w:kern w:val="0"/>
                <w:sz w:val="28"/>
                <w:szCs w:val="28"/>
              </w:rPr>
            </w:pPr>
            <w:r>
              <w:rPr>
                <w:rFonts w:hint="eastAsia" w:ascii="仿宋" w:hAnsi="仿宋" w:eastAsia="仿宋"/>
                <w:sz w:val="28"/>
                <w:szCs w:val="28"/>
              </w:rPr>
              <w:t>城东街道前进东路221号院58号楼</w:t>
            </w:r>
          </w:p>
        </w:tc>
        <w:tc>
          <w:tcPr>
            <w:tcW w:w="1463" w:type="dxa"/>
            <w:vAlign w:val="center"/>
          </w:tcPr>
          <w:p>
            <w:pPr>
              <w:snapToGrid w:val="0"/>
              <w:spacing w:line="240" w:lineRule="auto"/>
              <w:ind w:firstLine="0" w:firstLineChars="0"/>
              <w:jc w:val="center"/>
              <w:rPr>
                <w:rFonts w:hint="eastAsia" w:ascii="仿宋" w:hAnsi="仿宋" w:eastAsia="仿宋" w:cs="方正仿宋_GB2312"/>
                <w:color w:val="080808"/>
                <w:spacing w:val="-3"/>
                <w:kern w:val="0"/>
                <w:sz w:val="28"/>
                <w:szCs w:val="28"/>
              </w:rPr>
            </w:pPr>
            <w:r>
              <w:rPr>
                <w:rFonts w:hint="eastAsia" w:ascii="仿宋" w:hAnsi="仿宋" w:eastAsia="仿宋"/>
                <w:sz w:val="28"/>
                <w:szCs w:val="28"/>
              </w:rPr>
              <w:t>17699796349</w:t>
            </w:r>
          </w:p>
        </w:tc>
      </w:tr>
    </w:tbl>
    <w:p>
      <w:pPr>
        <w:spacing w:line="500" w:lineRule="exact"/>
        <w:ind w:firstLine="0" w:firstLineChars="0"/>
        <w:rPr>
          <w:rFonts w:ascii="Calibri" w:hAnsi="Calibri" w:eastAsia="宋体" w:cs="Times New Roman"/>
          <w:sz w:val="21"/>
          <w:szCs w:val="24"/>
        </w:rPr>
      </w:pPr>
    </w:p>
    <w:p>
      <w:pPr>
        <w:spacing w:line="500" w:lineRule="exact"/>
        <w:ind w:firstLine="0" w:firstLineChars="0"/>
        <w:rPr>
          <w:rFonts w:ascii="Calibri" w:hAnsi="Calibri" w:eastAsia="宋体" w:cs="Times New Roman"/>
          <w:sz w:val="21"/>
          <w:szCs w:val="24"/>
        </w:rPr>
      </w:pPr>
    </w:p>
    <w:p>
      <w:pPr>
        <w:spacing w:line="500" w:lineRule="exact"/>
        <w:ind w:firstLine="0" w:firstLineChars="0"/>
        <w:rPr>
          <w:rFonts w:ascii="Calibri" w:hAnsi="Calibri" w:eastAsia="宋体" w:cs="Times New Roman"/>
          <w:sz w:val="21"/>
          <w:szCs w:val="24"/>
        </w:rPr>
        <w:sectPr>
          <w:pgSz w:w="11906" w:h="16838"/>
          <w:pgMar w:top="2269" w:right="1418" w:bottom="1701" w:left="1418" w:header="851" w:footer="992" w:gutter="0"/>
          <w:cols w:space="425" w:num="1"/>
          <w:docGrid w:type="linesAndChars" w:linePitch="435" w:charSpace="4710"/>
        </w:sectPr>
      </w:pPr>
    </w:p>
    <w:bookmarkEnd w:id="16"/>
    <w:p>
      <w:pPr>
        <w:spacing w:line="500" w:lineRule="exact"/>
        <w:ind w:firstLine="0" w:firstLineChars="0"/>
        <w:outlineLvl w:val="1"/>
        <w:rPr>
          <w:rFonts w:eastAsia="黑体" w:cs="Times New Roman"/>
          <w:sz w:val="30"/>
          <w:szCs w:val="30"/>
        </w:rPr>
      </w:pPr>
      <w:bookmarkStart w:id="17" w:name="_Toc224309338"/>
      <w:bookmarkStart w:id="18" w:name="_Hlk222163145"/>
      <w:r>
        <w:rPr>
          <w:rFonts w:eastAsia="黑体" w:cs="Times New Roman"/>
          <w:sz w:val="30"/>
          <w:szCs w:val="30"/>
        </w:rPr>
        <w:t>附件</w:t>
      </w:r>
      <w:r>
        <w:rPr>
          <w:rFonts w:hint="eastAsia" w:eastAsia="黑体" w:cs="Times New Roman"/>
          <w:sz w:val="30"/>
          <w:szCs w:val="30"/>
        </w:rPr>
        <w:t>5</w:t>
      </w:r>
      <w:bookmarkEnd w:id="17"/>
    </w:p>
    <w:p>
      <w:pPr>
        <w:spacing w:after="217" w:afterLines="50" w:line="500" w:lineRule="exact"/>
        <w:ind w:firstLine="0" w:firstLineChars="0"/>
        <w:jc w:val="center"/>
        <w:rPr>
          <w:rFonts w:hint="eastAsia" w:ascii="宋体" w:hAnsi="宋体" w:eastAsia="宋体" w:cs="宋体"/>
          <w:sz w:val="24"/>
          <w:szCs w:val="24"/>
        </w:rPr>
      </w:pPr>
      <w:r>
        <w:rPr>
          <w:rFonts w:hint="eastAsia" w:ascii="仿宋" w:hAnsi="仿宋" w:eastAsia="仿宋" w:cs="华文中宋"/>
          <w:b/>
          <w:bCs/>
          <w:sz w:val="36"/>
          <w:szCs w:val="36"/>
        </w:rPr>
        <w:t>已出台政策文件清单</w:t>
      </w:r>
    </w:p>
    <w:bookmarkEnd w:id="18"/>
    <w:tbl>
      <w:tblPr>
        <w:tblStyle w:val="61"/>
        <w:tblpPr w:leftFromText="180" w:rightFromText="180" w:vertAnchor="text" w:tblpX="-28" w:tblpY="78"/>
        <w:tblOverlap w:val="never"/>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743"/>
        <w:gridCol w:w="3487"/>
        <w:gridCol w:w="1598"/>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68" w:type="dxa"/>
            <w:vAlign w:val="center"/>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序号</w:t>
            </w:r>
          </w:p>
        </w:tc>
        <w:tc>
          <w:tcPr>
            <w:tcW w:w="1743" w:type="dxa"/>
            <w:vAlign w:val="center"/>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文件名称</w:t>
            </w:r>
          </w:p>
        </w:tc>
        <w:tc>
          <w:tcPr>
            <w:tcW w:w="3487" w:type="dxa"/>
            <w:vAlign w:val="center"/>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主要内容</w:t>
            </w:r>
          </w:p>
        </w:tc>
        <w:tc>
          <w:tcPr>
            <w:tcW w:w="1598" w:type="dxa"/>
            <w:vAlign w:val="center"/>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发布单位</w:t>
            </w:r>
          </w:p>
        </w:tc>
        <w:tc>
          <w:tcPr>
            <w:tcW w:w="1724" w:type="dxa"/>
            <w:vAlign w:val="center"/>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1</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《地理标志产品 莎车巴旦</w:t>
            </w:r>
            <w:r>
              <w:rPr>
                <w:rFonts w:hint="eastAsia" w:ascii="仿宋" w:hAnsi="仿宋" w:eastAsia="仿宋"/>
                <w:sz w:val="28"/>
                <w:szCs w:val="28"/>
                <w:lang w:eastAsia="zh-CN"/>
              </w:rPr>
              <w:t>姆</w:t>
            </w:r>
            <w:r>
              <w:rPr>
                <w:rFonts w:hint="eastAsia" w:ascii="仿宋" w:hAnsi="仿宋" w:eastAsia="仿宋"/>
                <w:sz w:val="28"/>
                <w:szCs w:val="28"/>
              </w:rPr>
              <w:t>》</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规定地理标志产品莎车巴旦</w:t>
            </w:r>
            <w:r>
              <w:rPr>
                <w:rFonts w:hint="eastAsia" w:ascii="仿宋" w:hAnsi="仿宋" w:eastAsia="仿宋"/>
                <w:sz w:val="28"/>
                <w:szCs w:val="28"/>
                <w:lang w:eastAsia="zh-CN"/>
              </w:rPr>
              <w:t>姆</w:t>
            </w:r>
            <w:r>
              <w:rPr>
                <w:rFonts w:hint="eastAsia" w:ascii="仿宋" w:hAnsi="仿宋" w:eastAsia="仿宋"/>
                <w:sz w:val="28"/>
                <w:szCs w:val="28"/>
              </w:rPr>
              <w:t>的产地范围、术语和定义、产地环境条件、栽培管理、质量要求、试验方法、检验规则、标志、包装、运输和贮藏。</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新疆维吾尔自治区质量技术监督局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2008年6月10日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2</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《莎车巴旦</w:t>
            </w:r>
            <w:r>
              <w:rPr>
                <w:rFonts w:hint="eastAsia" w:ascii="仿宋" w:hAnsi="仿宋" w:eastAsia="仿宋"/>
                <w:sz w:val="28"/>
                <w:szCs w:val="28"/>
                <w:lang w:eastAsia="zh-CN"/>
              </w:rPr>
              <w:t>姆</w:t>
            </w:r>
            <w:r>
              <w:rPr>
                <w:rFonts w:hint="eastAsia" w:ascii="仿宋" w:hAnsi="仿宋" w:eastAsia="仿宋"/>
                <w:sz w:val="28"/>
                <w:szCs w:val="28"/>
              </w:rPr>
              <w:t>》</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规定莎车巴旦</w:t>
            </w:r>
            <w:r>
              <w:rPr>
                <w:rFonts w:hint="eastAsia" w:ascii="仿宋" w:hAnsi="仿宋" w:eastAsia="仿宋"/>
                <w:sz w:val="28"/>
                <w:szCs w:val="28"/>
                <w:lang w:eastAsia="zh-CN"/>
              </w:rPr>
              <w:t>姆</w:t>
            </w:r>
            <w:r>
              <w:rPr>
                <w:rFonts w:hint="eastAsia" w:ascii="仿宋" w:hAnsi="仿宋" w:eastAsia="仿宋"/>
                <w:sz w:val="28"/>
                <w:szCs w:val="28"/>
              </w:rPr>
              <w:t>术语和定义、质量要求、试验方法、检测规则、标志、包装、运输、贮存。</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喀什地区质量技术监督局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2013年6月20日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3</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《莎车巴旦</w:t>
            </w:r>
            <w:r>
              <w:rPr>
                <w:rFonts w:hint="eastAsia" w:ascii="仿宋" w:hAnsi="仿宋" w:eastAsia="仿宋"/>
                <w:sz w:val="28"/>
                <w:szCs w:val="28"/>
                <w:lang w:eastAsia="zh-CN"/>
              </w:rPr>
              <w:t>姆</w:t>
            </w:r>
            <w:r>
              <w:rPr>
                <w:rFonts w:hint="eastAsia" w:ascii="仿宋" w:hAnsi="仿宋" w:eastAsia="仿宋"/>
                <w:sz w:val="28"/>
                <w:szCs w:val="28"/>
              </w:rPr>
              <w:t>苗</w:t>
            </w:r>
            <w:r>
              <w:rPr>
                <w:rFonts w:hint="eastAsia" w:ascii="仿宋" w:hAnsi="仿宋" w:eastAsia="仿宋"/>
                <w:sz w:val="28"/>
                <w:szCs w:val="28"/>
                <w:lang w:val="en-US" w:eastAsia="zh-CN"/>
              </w:rPr>
              <w:t>木</w:t>
            </w:r>
            <w:r>
              <w:rPr>
                <w:rFonts w:hint="eastAsia" w:ascii="仿宋" w:hAnsi="仿宋" w:eastAsia="仿宋"/>
                <w:sz w:val="28"/>
                <w:szCs w:val="28"/>
              </w:rPr>
              <w:t>繁育技术规程》</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规定巴旦</w:t>
            </w:r>
            <w:r>
              <w:rPr>
                <w:rFonts w:hint="eastAsia" w:ascii="仿宋" w:hAnsi="仿宋" w:eastAsia="仿宋"/>
                <w:sz w:val="28"/>
                <w:szCs w:val="28"/>
                <w:lang w:eastAsia="zh-CN"/>
              </w:rPr>
              <w:t>姆</w:t>
            </w:r>
            <w:r>
              <w:rPr>
                <w:rFonts w:hint="eastAsia" w:ascii="仿宋" w:hAnsi="仿宋" w:eastAsia="仿宋"/>
                <w:sz w:val="28"/>
                <w:szCs w:val="28"/>
              </w:rPr>
              <w:t>苗</w:t>
            </w:r>
            <w:r>
              <w:rPr>
                <w:rFonts w:hint="eastAsia" w:ascii="仿宋" w:hAnsi="仿宋" w:eastAsia="仿宋"/>
                <w:sz w:val="28"/>
                <w:szCs w:val="28"/>
                <w:lang w:val="en-US" w:eastAsia="zh-CN"/>
              </w:rPr>
              <w:t>木</w:t>
            </w:r>
            <w:r>
              <w:rPr>
                <w:rFonts w:hint="eastAsia" w:ascii="仿宋" w:hAnsi="仿宋" w:eastAsia="仿宋"/>
                <w:sz w:val="28"/>
                <w:szCs w:val="28"/>
              </w:rPr>
              <w:t>育苗、嫁接苗培育、苗</w:t>
            </w:r>
            <w:r>
              <w:rPr>
                <w:rFonts w:hint="eastAsia" w:ascii="仿宋" w:hAnsi="仿宋" w:eastAsia="仿宋"/>
                <w:sz w:val="28"/>
                <w:szCs w:val="28"/>
                <w:lang w:val="en-US" w:eastAsia="zh-CN"/>
              </w:rPr>
              <w:t>木</w:t>
            </w:r>
            <w:r>
              <w:rPr>
                <w:rFonts w:hint="eastAsia" w:ascii="仿宋" w:hAnsi="仿宋" w:eastAsia="仿宋"/>
                <w:sz w:val="28"/>
                <w:szCs w:val="28"/>
              </w:rPr>
              <w:t>出圃及苗</w:t>
            </w:r>
            <w:r>
              <w:rPr>
                <w:rFonts w:hint="eastAsia" w:ascii="仿宋" w:hAnsi="仿宋" w:eastAsia="仿宋"/>
                <w:sz w:val="28"/>
                <w:szCs w:val="28"/>
                <w:lang w:val="en-US" w:eastAsia="zh-CN"/>
              </w:rPr>
              <w:t>木</w:t>
            </w:r>
            <w:r>
              <w:rPr>
                <w:rFonts w:hint="eastAsia" w:ascii="仿宋" w:hAnsi="仿宋" w:eastAsia="仿宋"/>
                <w:sz w:val="28"/>
                <w:szCs w:val="28"/>
              </w:rPr>
              <w:t>分级和苗</w:t>
            </w:r>
            <w:r>
              <w:rPr>
                <w:rFonts w:hint="eastAsia" w:ascii="仿宋" w:hAnsi="仿宋" w:eastAsia="仿宋"/>
                <w:sz w:val="28"/>
                <w:szCs w:val="28"/>
                <w:lang w:val="en-US" w:eastAsia="zh-CN"/>
              </w:rPr>
              <w:t>木</w:t>
            </w:r>
            <w:r>
              <w:rPr>
                <w:rFonts w:hint="eastAsia" w:ascii="仿宋" w:hAnsi="仿宋" w:eastAsia="仿宋"/>
                <w:sz w:val="28"/>
                <w:szCs w:val="28"/>
              </w:rPr>
              <w:t>检疫等栽培技术措施。</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喀什地区质量技术监督局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2013年6月20日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4</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《莎车巴旦</w:t>
            </w:r>
            <w:r>
              <w:rPr>
                <w:rFonts w:hint="eastAsia" w:ascii="仿宋" w:hAnsi="仿宋" w:eastAsia="仿宋"/>
                <w:sz w:val="28"/>
                <w:szCs w:val="28"/>
                <w:lang w:eastAsia="zh-CN"/>
              </w:rPr>
              <w:t>姆</w:t>
            </w:r>
            <w:r>
              <w:rPr>
                <w:rFonts w:hint="eastAsia" w:ascii="仿宋" w:hAnsi="仿宋" w:eastAsia="仿宋"/>
                <w:sz w:val="28"/>
                <w:szCs w:val="28"/>
              </w:rPr>
              <w:t>农林间作技术规程》</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规定莎车巴旦</w:t>
            </w:r>
            <w:r>
              <w:rPr>
                <w:rFonts w:hint="eastAsia" w:ascii="仿宋" w:hAnsi="仿宋" w:eastAsia="仿宋"/>
                <w:sz w:val="28"/>
                <w:szCs w:val="28"/>
                <w:lang w:eastAsia="zh-CN"/>
              </w:rPr>
              <w:t>姆</w:t>
            </w:r>
            <w:r>
              <w:rPr>
                <w:rFonts w:hint="eastAsia" w:ascii="仿宋" w:hAnsi="仿宋" w:eastAsia="仿宋"/>
                <w:sz w:val="28"/>
                <w:szCs w:val="28"/>
              </w:rPr>
              <w:t>园间作术语和定义、间作作物选择原则、巴旦</w:t>
            </w:r>
            <w:r>
              <w:rPr>
                <w:rFonts w:hint="eastAsia" w:ascii="仿宋" w:hAnsi="仿宋" w:eastAsia="仿宋"/>
                <w:sz w:val="28"/>
                <w:szCs w:val="28"/>
                <w:lang w:eastAsia="zh-CN"/>
              </w:rPr>
              <w:t>姆</w:t>
            </w:r>
            <w:r>
              <w:rPr>
                <w:rFonts w:hint="eastAsia" w:ascii="仿宋" w:hAnsi="仿宋" w:eastAsia="仿宋"/>
                <w:sz w:val="28"/>
                <w:szCs w:val="28"/>
              </w:rPr>
              <w:t>园间作栽种模式和</w:t>
            </w:r>
            <w:r>
              <w:rPr>
                <w:rFonts w:hint="eastAsia" w:ascii="仿宋" w:hAnsi="仿宋" w:eastAsia="仿宋"/>
                <w:sz w:val="28"/>
                <w:szCs w:val="28"/>
                <w:lang w:val="en-US" w:eastAsia="zh-CN"/>
              </w:rPr>
              <w:t>科</w:t>
            </w:r>
            <w:r>
              <w:rPr>
                <w:rFonts w:hint="eastAsia" w:ascii="仿宋" w:hAnsi="仿宋" w:eastAsia="仿宋"/>
                <w:sz w:val="28"/>
                <w:szCs w:val="28"/>
              </w:rPr>
              <w:t>培技术。</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喀什地区质量技术监督局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2013年6月20日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5</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《莎车巴旦</w:t>
            </w:r>
            <w:r>
              <w:rPr>
                <w:rFonts w:hint="eastAsia" w:ascii="仿宋" w:hAnsi="仿宋" w:eastAsia="仿宋"/>
                <w:sz w:val="28"/>
                <w:szCs w:val="28"/>
                <w:lang w:eastAsia="zh-CN"/>
              </w:rPr>
              <w:t>姆</w:t>
            </w:r>
            <w:r>
              <w:rPr>
                <w:rFonts w:hint="eastAsia" w:ascii="仿宋" w:hAnsi="仿宋" w:eastAsia="仿宋"/>
                <w:sz w:val="28"/>
                <w:szCs w:val="28"/>
              </w:rPr>
              <w:t>初加工技术要求》</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规定莎车巴旦</w:t>
            </w:r>
            <w:r>
              <w:rPr>
                <w:rFonts w:hint="eastAsia" w:ascii="仿宋" w:hAnsi="仿宋" w:eastAsia="仿宋"/>
                <w:sz w:val="28"/>
                <w:szCs w:val="28"/>
                <w:lang w:eastAsia="zh-CN"/>
              </w:rPr>
              <w:t>姆</w:t>
            </w:r>
            <w:r>
              <w:rPr>
                <w:rFonts w:hint="eastAsia" w:ascii="仿宋" w:hAnsi="仿宋" w:eastAsia="仿宋"/>
                <w:sz w:val="28"/>
                <w:szCs w:val="28"/>
              </w:rPr>
              <w:t>采收技术、采后处理、初加工工艺等技术要求。</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喀什地区质量技术监督局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2013年6月20日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6</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《莎车巴旦</w:t>
            </w:r>
            <w:r>
              <w:rPr>
                <w:rFonts w:hint="eastAsia" w:ascii="仿宋" w:hAnsi="仿宋" w:eastAsia="仿宋"/>
                <w:sz w:val="28"/>
                <w:szCs w:val="28"/>
                <w:lang w:eastAsia="zh-CN"/>
              </w:rPr>
              <w:t>姆</w:t>
            </w:r>
            <w:r>
              <w:rPr>
                <w:rFonts w:hint="eastAsia" w:ascii="仿宋" w:hAnsi="仿宋" w:eastAsia="仿宋"/>
                <w:sz w:val="28"/>
                <w:szCs w:val="28"/>
              </w:rPr>
              <w:t>病虫害综合防治技术规程》</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规定莎车巴旦</w:t>
            </w:r>
            <w:r>
              <w:rPr>
                <w:rFonts w:hint="eastAsia" w:ascii="仿宋" w:hAnsi="仿宋" w:eastAsia="仿宋"/>
                <w:sz w:val="28"/>
                <w:szCs w:val="28"/>
                <w:lang w:eastAsia="zh-CN"/>
              </w:rPr>
              <w:t>姆</w:t>
            </w:r>
            <w:r>
              <w:rPr>
                <w:rFonts w:hint="eastAsia" w:ascii="仿宋" w:hAnsi="仿宋" w:eastAsia="仿宋"/>
                <w:sz w:val="28"/>
                <w:szCs w:val="28"/>
              </w:rPr>
              <w:t>生产过程中病虫害综合防治技术管理措施和方法。</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喀什地区质量技术监督局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2013年6月20日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7</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《扁桃蜜蜂授粉技术规程》</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规定了喀什地区扁桃园开花授粉蜂群的准备及授粉的操作程序和管理要求。</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喀什地区质量技术监督局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2014年6月25日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8</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《扁桃测土配方平衡施肥技术规程》</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规定扁桃测土配方平衡施肥技术方案、施肥量、肥料配方及操作、施肥方法。</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喀什地区质量技术监督局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2014年6月25日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9</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《扁桃叶片矿质营养诊断技术规程》</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规定扁桃叶片矿质营养分级技术方案、采叶时期、矿质元素测定方法、应用方法。</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喀什地区质量技术监督局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2014年6月25日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68"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10</w:t>
            </w:r>
          </w:p>
        </w:tc>
        <w:tc>
          <w:tcPr>
            <w:tcW w:w="174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《特色林果 巴旦</w:t>
            </w:r>
            <w:r>
              <w:rPr>
                <w:rFonts w:hint="eastAsia" w:ascii="仿宋" w:hAnsi="仿宋" w:eastAsia="仿宋"/>
                <w:sz w:val="28"/>
                <w:szCs w:val="28"/>
                <w:lang w:eastAsia="zh-CN"/>
              </w:rPr>
              <w:t>姆</w:t>
            </w:r>
            <w:r>
              <w:rPr>
                <w:rFonts w:hint="eastAsia" w:ascii="仿宋" w:hAnsi="仿宋" w:eastAsia="仿宋"/>
                <w:sz w:val="28"/>
                <w:szCs w:val="28"/>
              </w:rPr>
              <w:t>绿色生产技术规范》</w:t>
            </w:r>
          </w:p>
        </w:tc>
        <w:tc>
          <w:tcPr>
            <w:tcW w:w="3487"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规定巴旦</w:t>
            </w:r>
            <w:r>
              <w:rPr>
                <w:rFonts w:hint="eastAsia" w:ascii="仿宋" w:hAnsi="仿宋" w:eastAsia="仿宋"/>
                <w:sz w:val="28"/>
                <w:szCs w:val="28"/>
                <w:lang w:eastAsia="zh-CN"/>
              </w:rPr>
              <w:t>姆</w:t>
            </w:r>
            <w:r>
              <w:rPr>
                <w:rFonts w:hint="eastAsia" w:ascii="仿宋" w:hAnsi="仿宋" w:eastAsia="仿宋"/>
                <w:sz w:val="28"/>
                <w:szCs w:val="28"/>
              </w:rPr>
              <w:t>绿色生产过程中产地环境、园地选择、品种栽植、树体管理、水肥管理、有害生物防治、采收及晾晒的技术要求</w:t>
            </w:r>
          </w:p>
        </w:tc>
        <w:tc>
          <w:tcPr>
            <w:tcW w:w="159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新疆维吾尔自治区林业和草原局</w:t>
            </w:r>
          </w:p>
        </w:tc>
        <w:tc>
          <w:tcPr>
            <w:tcW w:w="172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2022年10月22日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68" w:type="dxa"/>
            <w:vAlign w:val="center"/>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11</w:t>
            </w:r>
          </w:p>
        </w:tc>
        <w:tc>
          <w:tcPr>
            <w:tcW w:w="1743" w:type="dxa"/>
            <w:vAlign w:val="center"/>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《莎车县巴旦</w:t>
            </w:r>
            <w:r>
              <w:rPr>
                <w:rFonts w:hint="eastAsia" w:ascii="仿宋" w:hAnsi="仿宋" w:eastAsia="仿宋"/>
                <w:sz w:val="28"/>
                <w:szCs w:val="28"/>
                <w:lang w:eastAsia="zh-CN"/>
              </w:rPr>
              <w:t>姆</w:t>
            </w:r>
            <w:r>
              <w:rPr>
                <w:rFonts w:hint="eastAsia" w:ascii="仿宋" w:hAnsi="仿宋" w:eastAsia="仿宋"/>
                <w:sz w:val="28"/>
                <w:szCs w:val="28"/>
              </w:rPr>
              <w:t>密植园全年管理手册》</w:t>
            </w:r>
          </w:p>
        </w:tc>
        <w:tc>
          <w:tcPr>
            <w:tcW w:w="3487" w:type="dxa"/>
            <w:vAlign w:val="center"/>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规定莎车县巴旦</w:t>
            </w:r>
            <w:r>
              <w:rPr>
                <w:rFonts w:hint="eastAsia" w:ascii="仿宋" w:hAnsi="仿宋" w:eastAsia="仿宋"/>
                <w:sz w:val="28"/>
                <w:szCs w:val="28"/>
                <w:lang w:eastAsia="zh-CN"/>
              </w:rPr>
              <w:t>姆</w:t>
            </w:r>
            <w:r>
              <w:rPr>
                <w:rFonts w:hint="eastAsia" w:ascii="仿宋" w:hAnsi="仿宋" w:eastAsia="仿宋"/>
                <w:sz w:val="28"/>
                <w:szCs w:val="28"/>
              </w:rPr>
              <w:t>密植园全年农事活动的时间、内容和技术要领。</w:t>
            </w:r>
          </w:p>
        </w:tc>
        <w:tc>
          <w:tcPr>
            <w:tcW w:w="1598" w:type="dxa"/>
            <w:vAlign w:val="center"/>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莎车县林业和草原局</w:t>
            </w:r>
          </w:p>
        </w:tc>
        <w:tc>
          <w:tcPr>
            <w:tcW w:w="1724" w:type="dxa"/>
            <w:vAlign w:val="center"/>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2025年</w:t>
            </w:r>
          </w:p>
        </w:tc>
      </w:tr>
    </w:tbl>
    <w:p>
      <w:pPr>
        <w:spacing w:line="500" w:lineRule="exact"/>
        <w:ind w:firstLine="0" w:firstLineChars="0"/>
        <w:rPr>
          <w:rFonts w:eastAsia="黑体" w:cs="Times New Roman"/>
          <w:szCs w:val="32"/>
        </w:rPr>
        <w:sectPr>
          <w:pgSz w:w="11906" w:h="16838"/>
          <w:pgMar w:top="1985" w:right="1418" w:bottom="1701" w:left="1418" w:header="851" w:footer="992" w:gutter="0"/>
          <w:cols w:space="425" w:num="1"/>
          <w:docGrid w:type="linesAndChars" w:linePitch="435" w:charSpace="4710"/>
        </w:sectPr>
      </w:pPr>
    </w:p>
    <w:p>
      <w:pPr>
        <w:spacing w:line="500" w:lineRule="exact"/>
        <w:ind w:firstLine="0" w:firstLineChars="0"/>
        <w:outlineLvl w:val="1"/>
        <w:rPr>
          <w:rFonts w:eastAsia="黑体" w:cs="Times New Roman"/>
          <w:sz w:val="30"/>
          <w:szCs w:val="30"/>
        </w:rPr>
      </w:pPr>
      <w:bookmarkStart w:id="19" w:name="_Toc224309339"/>
      <w:r>
        <w:rPr>
          <w:rFonts w:eastAsia="黑体" w:cs="Times New Roman"/>
          <w:sz w:val="30"/>
          <w:szCs w:val="30"/>
        </w:rPr>
        <w:t>附件</w:t>
      </w:r>
      <w:r>
        <w:rPr>
          <w:rFonts w:hint="eastAsia" w:eastAsia="黑体" w:cs="Times New Roman"/>
          <w:sz w:val="30"/>
          <w:szCs w:val="30"/>
        </w:rPr>
        <w:t>6</w:t>
      </w:r>
      <w:bookmarkEnd w:id="19"/>
    </w:p>
    <w:p>
      <w:pPr>
        <w:spacing w:after="217" w:afterLines="50" w:line="500" w:lineRule="exact"/>
        <w:ind w:firstLine="0" w:firstLineChars="0"/>
        <w:jc w:val="center"/>
        <w:rPr>
          <w:rFonts w:hint="eastAsia" w:ascii="宋体" w:hAnsi="宋体" w:eastAsia="宋体" w:cs="宋体"/>
          <w:sz w:val="24"/>
          <w:szCs w:val="24"/>
        </w:rPr>
      </w:pPr>
      <w:r>
        <w:rPr>
          <w:rFonts w:hint="eastAsia" w:ascii="仿宋" w:hAnsi="仿宋" w:eastAsia="仿宋" w:cs="华文中宋"/>
          <w:b/>
          <w:bCs/>
          <w:sz w:val="36"/>
          <w:szCs w:val="36"/>
        </w:rPr>
        <w:t>拟出台政策文件清单</w:t>
      </w:r>
    </w:p>
    <w:tbl>
      <w:tblPr>
        <w:tblStyle w:val="6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993"/>
        <w:gridCol w:w="3618"/>
        <w:gridCol w:w="1454"/>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序号</w:t>
            </w:r>
          </w:p>
        </w:tc>
        <w:tc>
          <w:tcPr>
            <w:tcW w:w="1993" w:type="dxa"/>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文件名称</w:t>
            </w:r>
          </w:p>
        </w:tc>
        <w:tc>
          <w:tcPr>
            <w:tcW w:w="3618" w:type="dxa"/>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主要内容</w:t>
            </w:r>
          </w:p>
        </w:tc>
        <w:tc>
          <w:tcPr>
            <w:tcW w:w="1454" w:type="dxa"/>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发布单位</w:t>
            </w:r>
          </w:p>
        </w:tc>
        <w:tc>
          <w:tcPr>
            <w:tcW w:w="1445" w:type="dxa"/>
          </w:tcPr>
          <w:p>
            <w:pPr>
              <w:spacing w:line="240" w:lineRule="auto"/>
              <w:ind w:firstLine="0" w:firstLineChars="0"/>
              <w:jc w:val="center"/>
              <w:rPr>
                <w:rFonts w:hint="eastAsia" w:ascii="仿宋" w:hAnsi="仿宋" w:eastAsia="仿宋" w:cs="黑体"/>
                <w:b/>
                <w:bCs/>
                <w:kern w:val="0"/>
                <w:sz w:val="28"/>
                <w:szCs w:val="28"/>
              </w:rPr>
            </w:pPr>
            <w:r>
              <w:rPr>
                <w:rFonts w:hint="eastAsia" w:ascii="仿宋" w:hAnsi="仿宋" w:eastAsia="仿宋" w:cs="黑体"/>
                <w:b/>
                <w:bCs/>
                <w:kern w:val="0"/>
                <w:sz w:val="28"/>
                <w:szCs w:val="28"/>
              </w:rPr>
              <w:t>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1</w:t>
            </w:r>
          </w:p>
        </w:tc>
        <w:tc>
          <w:tcPr>
            <w:tcW w:w="199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《莎车县巴旦</w:t>
            </w:r>
            <w:r>
              <w:rPr>
                <w:rFonts w:hint="eastAsia" w:ascii="仿宋" w:hAnsi="仿宋" w:eastAsia="仿宋"/>
                <w:sz w:val="28"/>
                <w:szCs w:val="28"/>
                <w:lang w:eastAsia="zh-CN"/>
              </w:rPr>
              <w:t>姆</w:t>
            </w:r>
            <w:r>
              <w:rPr>
                <w:rFonts w:hint="eastAsia" w:ascii="仿宋" w:hAnsi="仿宋" w:eastAsia="仿宋"/>
                <w:sz w:val="28"/>
                <w:szCs w:val="28"/>
              </w:rPr>
              <w:t>栽培系统管理办法》</w:t>
            </w:r>
          </w:p>
        </w:tc>
        <w:tc>
          <w:tcPr>
            <w:tcW w:w="361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明确莎车巴旦</w:t>
            </w:r>
            <w:r>
              <w:rPr>
                <w:rFonts w:hint="eastAsia" w:ascii="仿宋" w:hAnsi="仿宋" w:eastAsia="仿宋"/>
                <w:sz w:val="28"/>
                <w:szCs w:val="28"/>
                <w:lang w:eastAsia="zh-CN"/>
              </w:rPr>
              <w:t>姆</w:t>
            </w:r>
            <w:r>
              <w:rPr>
                <w:rFonts w:hint="eastAsia" w:ascii="仿宋" w:hAnsi="仿宋" w:eastAsia="仿宋"/>
                <w:sz w:val="28"/>
                <w:szCs w:val="28"/>
              </w:rPr>
              <w:t>栽培系统保护职责、利用规范、监管措施和奖惩机制。</w:t>
            </w:r>
          </w:p>
        </w:tc>
        <w:tc>
          <w:tcPr>
            <w:tcW w:w="145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莎车县人民政府</w:t>
            </w:r>
          </w:p>
        </w:tc>
        <w:tc>
          <w:tcPr>
            <w:tcW w:w="1445"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2027年起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51"/>
              <w:widowControl w:val="0"/>
              <w:spacing w:line="240" w:lineRule="auto"/>
              <w:ind w:firstLine="0" w:firstLineChars="0"/>
              <w:jc w:val="center"/>
              <w:rPr>
                <w:rFonts w:hint="eastAsia" w:ascii="仿宋" w:hAnsi="仿宋" w:eastAsia="仿宋"/>
                <w:sz w:val="28"/>
                <w:szCs w:val="28"/>
              </w:rPr>
            </w:pPr>
            <w:r>
              <w:rPr>
                <w:rFonts w:hint="eastAsia" w:ascii="仿宋" w:hAnsi="仿宋" w:eastAsia="仿宋"/>
                <w:sz w:val="28"/>
                <w:szCs w:val="28"/>
              </w:rPr>
              <w:t>2</w:t>
            </w:r>
          </w:p>
        </w:tc>
        <w:tc>
          <w:tcPr>
            <w:tcW w:w="1993"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《莎车县农业文化遗产保护工作手册》</w:t>
            </w:r>
          </w:p>
        </w:tc>
        <w:tc>
          <w:tcPr>
            <w:tcW w:w="3618"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农业文化遗产的定义、级别、核心价值、核心保护要素、核心保护区范围等；明确保护原则明确组织架构和管理要求，明令禁止破坏和过度商业化等行为；提供具体的保护方法，引导自觉保护的行为</w:t>
            </w:r>
            <w:r>
              <w:rPr>
                <w:rFonts w:hint="eastAsia" w:ascii="仿宋" w:hAnsi="仿宋" w:eastAsia="仿宋"/>
                <w:sz w:val="28"/>
                <w:szCs w:val="28"/>
                <w:lang w:eastAsia="zh-CN"/>
              </w:rPr>
              <w:t>；</w:t>
            </w:r>
            <w:r>
              <w:rPr>
                <w:rFonts w:hint="eastAsia" w:ascii="仿宋" w:hAnsi="仿宋" w:eastAsia="仿宋"/>
                <w:sz w:val="28"/>
                <w:szCs w:val="28"/>
              </w:rPr>
              <w:t>等等。</w:t>
            </w:r>
          </w:p>
        </w:tc>
        <w:tc>
          <w:tcPr>
            <w:tcW w:w="1454"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莎车县林草局</w:t>
            </w:r>
          </w:p>
        </w:tc>
        <w:tc>
          <w:tcPr>
            <w:tcW w:w="1445" w:type="dxa"/>
          </w:tcPr>
          <w:p>
            <w:pPr>
              <w:pStyle w:val="51"/>
              <w:widowControl w:val="0"/>
              <w:spacing w:line="240" w:lineRule="auto"/>
              <w:ind w:firstLine="0" w:firstLineChars="0"/>
              <w:rPr>
                <w:rFonts w:hint="eastAsia" w:ascii="仿宋" w:hAnsi="仿宋" w:eastAsia="仿宋"/>
                <w:sz w:val="28"/>
                <w:szCs w:val="28"/>
              </w:rPr>
            </w:pPr>
            <w:r>
              <w:rPr>
                <w:rFonts w:hint="eastAsia" w:ascii="仿宋" w:hAnsi="仿宋" w:eastAsia="仿宋"/>
                <w:sz w:val="28"/>
                <w:szCs w:val="28"/>
              </w:rPr>
              <w:t>2027年起</w:t>
            </w:r>
          </w:p>
        </w:tc>
      </w:tr>
    </w:tbl>
    <w:p>
      <w:pPr>
        <w:spacing w:line="500" w:lineRule="exact"/>
        <w:ind w:firstLine="0" w:firstLineChars="0"/>
        <w:rPr>
          <w:rFonts w:eastAsia="黑体" w:cs="Times New Roman"/>
          <w:szCs w:val="32"/>
        </w:rPr>
        <w:sectPr>
          <w:pgSz w:w="11906" w:h="16838"/>
          <w:pgMar w:top="1985" w:right="1418" w:bottom="1701" w:left="1418" w:header="851" w:footer="992" w:gutter="0"/>
          <w:cols w:space="425" w:num="1"/>
          <w:docGrid w:type="linesAndChars" w:linePitch="435" w:charSpace="4710"/>
        </w:sectPr>
      </w:pPr>
    </w:p>
    <w:p>
      <w:pPr>
        <w:spacing w:line="500" w:lineRule="exact"/>
        <w:ind w:firstLine="0" w:firstLineChars="0"/>
        <w:outlineLvl w:val="1"/>
        <w:rPr>
          <w:rFonts w:eastAsia="黑体" w:cs="Times New Roman"/>
          <w:sz w:val="30"/>
          <w:szCs w:val="30"/>
        </w:rPr>
      </w:pPr>
      <w:bookmarkStart w:id="20" w:name="_Toc224309340"/>
      <w:r>
        <w:rPr>
          <w:rFonts w:eastAsia="黑体" w:cs="Times New Roman"/>
          <w:sz w:val="30"/>
          <w:szCs w:val="30"/>
        </w:rPr>
        <w:t>附件</w:t>
      </w:r>
      <w:r>
        <w:rPr>
          <w:rFonts w:hint="eastAsia" w:eastAsia="黑体" w:cs="Times New Roman"/>
          <w:sz w:val="30"/>
          <w:szCs w:val="30"/>
        </w:rPr>
        <w:t>7</w:t>
      </w:r>
      <w:bookmarkEnd w:id="20"/>
    </w:p>
    <w:p>
      <w:pPr>
        <w:spacing w:after="217" w:afterLines="50" w:line="500" w:lineRule="exact"/>
        <w:ind w:firstLine="0" w:firstLineChars="0"/>
        <w:jc w:val="center"/>
        <w:rPr>
          <w:rFonts w:hint="eastAsia" w:ascii="仿宋" w:hAnsi="仿宋" w:eastAsia="仿宋" w:cs="华文中宋"/>
          <w:b/>
          <w:bCs/>
          <w:sz w:val="36"/>
          <w:szCs w:val="36"/>
        </w:rPr>
      </w:pPr>
      <w:r>
        <w:rPr>
          <w:rFonts w:hint="eastAsia" w:ascii="仿宋" w:hAnsi="仿宋" w:eastAsia="仿宋" w:cs="华文中宋"/>
          <w:b/>
          <w:bCs/>
          <w:sz w:val="36"/>
          <w:szCs w:val="36"/>
        </w:rPr>
        <w:t>行动计划编写人员名单</w:t>
      </w:r>
    </w:p>
    <w:tbl>
      <w:tblPr>
        <w:tblStyle w:val="25"/>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992"/>
        <w:gridCol w:w="3284"/>
        <w:gridCol w:w="3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9" w:type="dxa"/>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r>
              <w:rPr>
                <w:rFonts w:hint="eastAsia" w:ascii="方正仿宋_GBK" w:hAnsi="方正仿宋_GBK" w:eastAsia="方正仿宋_GBK" w:cs="方正仿宋_GBK"/>
                <w:b/>
                <w:bCs/>
                <w:spacing w:val="-3"/>
                <w:kern w:val="0"/>
                <w:sz w:val="24"/>
                <w:szCs w:val="24"/>
              </w:rPr>
              <w:t>类别</w:t>
            </w:r>
          </w:p>
        </w:tc>
        <w:tc>
          <w:tcPr>
            <w:tcW w:w="1992" w:type="dxa"/>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r>
              <w:rPr>
                <w:rFonts w:hint="eastAsia" w:ascii="方正仿宋_GBK" w:hAnsi="方正仿宋_GBK" w:eastAsia="方正仿宋_GBK" w:cs="方正仿宋_GBK"/>
                <w:b/>
                <w:bCs/>
                <w:spacing w:val="-3"/>
                <w:kern w:val="0"/>
                <w:sz w:val="24"/>
                <w:szCs w:val="24"/>
              </w:rPr>
              <w:t>姓名</w:t>
            </w:r>
          </w:p>
        </w:tc>
        <w:tc>
          <w:tcPr>
            <w:tcW w:w="3284" w:type="dxa"/>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r>
              <w:rPr>
                <w:rFonts w:hint="eastAsia" w:ascii="方正仿宋_GBK" w:hAnsi="方正仿宋_GBK" w:eastAsia="方正仿宋_GBK" w:cs="方正仿宋_GBK"/>
                <w:b/>
                <w:bCs/>
                <w:spacing w:val="-3"/>
                <w:kern w:val="0"/>
                <w:sz w:val="24"/>
                <w:szCs w:val="24"/>
              </w:rPr>
              <w:t>单位</w:t>
            </w:r>
          </w:p>
        </w:tc>
        <w:tc>
          <w:tcPr>
            <w:tcW w:w="3076" w:type="dxa"/>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r>
              <w:rPr>
                <w:rFonts w:hint="eastAsia" w:ascii="方正仿宋_GBK" w:hAnsi="方正仿宋_GBK" w:eastAsia="方正仿宋_GBK" w:cs="方正仿宋_GBK"/>
                <w:b/>
                <w:bCs/>
                <w:spacing w:val="-3"/>
                <w:kern w:val="0"/>
                <w:sz w:val="24"/>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Merge w:val="restart"/>
            <w:vAlign w:val="center"/>
          </w:tcPr>
          <w:p>
            <w:pPr>
              <w:snapToGrid w:val="0"/>
              <w:spacing w:line="240" w:lineRule="auto"/>
              <w:ind w:firstLine="22" w:firstLineChars="9"/>
              <w:jc w:val="center"/>
              <w:rPr>
                <w:rFonts w:hint="eastAsia"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编委会</w:t>
            </w: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张耘收</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莎车县委</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地委委员、县委书记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rPr>
            </w:pPr>
          </w:p>
        </w:tc>
        <w:tc>
          <w:tcPr>
            <w:tcW w:w="1992" w:type="dxa"/>
          </w:tcPr>
          <w:p>
            <w:pPr>
              <w:snapToGrid w:val="0"/>
              <w:spacing w:line="400" w:lineRule="exact"/>
              <w:ind w:firstLine="0" w:firstLineChars="0"/>
              <w:jc w:val="center"/>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艾山·吾买尔</w:t>
            </w:r>
          </w:p>
        </w:tc>
        <w:tc>
          <w:tcPr>
            <w:tcW w:w="3284" w:type="dxa"/>
            <w:vAlign w:val="top"/>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县长</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县委副书记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吴显中</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莎车县委</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县委副书记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王志政</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莎车县委</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县委副书记、党校校长、组织部部长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吴</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磊</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副县长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张</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涛</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党组书记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周何军</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衡思金</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林果办主任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杨新成</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项目办主任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王瑱梅</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莎车县档案史志馆</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党支部书记、主任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王海涛</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莎车县档案史志馆</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四级主任科员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王</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蓉</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莎车县文化体育广播电视和旅游局</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党组书记、副局长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lang w:val="en-US" w:eastAsia="zh-CN"/>
              </w:rPr>
              <w:t>木</w:t>
            </w:r>
            <w:r>
              <w:rPr>
                <w:rFonts w:hint="eastAsia" w:ascii="方正仿宋_GBK" w:hAnsi="方正仿宋_GBK" w:eastAsia="方正仿宋_GBK" w:cs="方正仿宋_GBK"/>
                <w:sz w:val="24"/>
                <w:szCs w:val="24"/>
              </w:rPr>
              <w:t>合塔尔·居麦</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莎车县文化馆</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非遗专干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黄相领</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莎车县农业农村局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党支部书记、副局长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张洋军</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莎车县瓜菜果产业发展中心</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主任（副高级农艺师）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lang w:eastAsia="zh-CN"/>
              </w:rPr>
              <w:t>姆</w:t>
            </w:r>
            <w:r>
              <w:rPr>
                <w:rFonts w:hint="eastAsia" w:ascii="方正仿宋_GBK" w:hAnsi="方正仿宋_GBK" w:eastAsia="方正仿宋_GBK" w:cs="方正仿宋_GBK"/>
                <w:sz w:val="24"/>
                <w:szCs w:val="24"/>
              </w:rPr>
              <w:t>合塔尔·买合</w:t>
            </w:r>
            <w:r>
              <w:rPr>
                <w:rFonts w:hint="eastAsia" w:ascii="方正仿宋_GBK" w:hAnsi="方正仿宋_GBK" w:eastAsia="方正仿宋_GBK" w:cs="方正仿宋_GBK"/>
                <w:sz w:val="24"/>
                <w:szCs w:val="24"/>
                <w:lang w:val="en-US" w:eastAsia="zh-CN"/>
              </w:rPr>
              <w:t>木</w:t>
            </w:r>
            <w:r>
              <w:rPr>
                <w:rFonts w:hint="eastAsia" w:ascii="方正仿宋_GBK" w:hAnsi="方正仿宋_GBK" w:eastAsia="方正仿宋_GBK" w:cs="方正仿宋_GBK"/>
                <w:sz w:val="24"/>
                <w:szCs w:val="24"/>
              </w:rPr>
              <w:t>提</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莎车县园艺站</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党支部副书记、站长（副高级农艺师）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努尔比叶</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莎车老城街区管委会</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哈恩楚</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莎车县国有二林场</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党支部书记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葛立鑫</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莎车县国有二林场</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阿迪拉·买买提</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莎车县国有二林场</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朱</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萌</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莎车县阿热勒乡人民政府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梁忠宝</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莎车县阿热勒乡农业发展服务中心</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周</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帅</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莎车县阿热勒乡人民政府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党委委员，常务，副乡长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阿布都热西提.斯麦提</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莎车县阿热勒乡林业站</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蔡英杰</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莎车县阿瓦提镇人民政府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党委书记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玉苏普·亚生</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莎车县阿瓦提镇人民政府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副镇长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阿布都卡迪尔·麦麦提依明</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莎车县阿瓦提镇林业站</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唐啸天</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莎车县塔尕尔其镇人民政府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党委书记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依明尼亚孜·吐尔孙</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莎车县塔尕尔其镇人民政府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副镇长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努尔比牙</w:t>
            </w:r>
            <w:r>
              <w:rPr>
                <w:rFonts w:hint="eastAsia" w:ascii="方正仿宋_GBK" w:hAnsi="方正仿宋_GBK" w:eastAsia="方正仿宋_GBK" w:cs="方正仿宋_GBK"/>
                <w:sz w:val="24"/>
                <w:szCs w:val="24"/>
                <w:lang w:val="en-US" w:eastAsia="zh-CN"/>
              </w:rPr>
              <w:t>木</w:t>
            </w:r>
            <w:r>
              <w:rPr>
                <w:rFonts w:hint="eastAsia" w:ascii="方正仿宋_GBK" w:hAnsi="方正仿宋_GBK" w:eastAsia="方正仿宋_GBK" w:cs="方正仿宋_GBK"/>
                <w:sz w:val="24"/>
                <w:szCs w:val="24"/>
              </w:rPr>
              <w:t>·衣达衣提</w:t>
            </w:r>
          </w:p>
        </w:tc>
        <w:tc>
          <w:tcPr>
            <w:tcW w:w="3284"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莎车县塔尕尔其镇林业站</w:t>
            </w:r>
          </w:p>
        </w:tc>
        <w:tc>
          <w:tcPr>
            <w:tcW w:w="3076" w:type="dxa"/>
          </w:tcPr>
          <w:p>
            <w:pPr>
              <w:snapToGrid w:val="0"/>
              <w:spacing w:line="400" w:lineRule="exact"/>
              <w:ind w:firstLine="0" w:firstLineChars="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restart"/>
            <w:vAlign w:val="center"/>
          </w:tcPr>
          <w:p>
            <w:pPr>
              <w:snapToGrid w:val="0"/>
              <w:spacing w:line="240" w:lineRule="auto"/>
              <w:ind w:firstLine="0" w:firstLineChars="0"/>
              <w:jc w:val="center"/>
              <w:rPr>
                <w:rFonts w:hint="eastAsia"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参编人员</w:t>
            </w: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张</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涛</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党组书记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周何军</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李贞焕</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杨</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超</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衡思金</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林果办主任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杨新成</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莎车县林草局</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项目办主任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朱</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萌</w:t>
            </w:r>
          </w:p>
        </w:tc>
        <w:tc>
          <w:tcPr>
            <w:tcW w:w="3284"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莎车县阿热勒乡人民政府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snapToGrid w:val="0"/>
                <w:kern w:val="0"/>
                <w:sz w:val="24"/>
                <w:szCs w:val="24"/>
              </w:rPr>
            </w:pPr>
            <w:r>
              <w:rPr>
                <w:rFonts w:hint="eastAsia" w:ascii="方正仿宋_GBK" w:hAnsi="方正仿宋_GBK" w:eastAsia="方正仿宋_GBK" w:cs="方正仿宋_GBK"/>
                <w:sz w:val="24"/>
                <w:szCs w:val="24"/>
              </w:rPr>
              <w:t>党委书记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蔡英杰</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莎车县阿瓦提镇人民政府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唐啸天</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莎车县塔尕尔其镇人民政府</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Merge w:val="continue"/>
            <w:vAlign w:val="center"/>
          </w:tcPr>
          <w:p>
            <w:pPr>
              <w:snapToGrid w:val="0"/>
              <w:spacing w:line="240" w:lineRule="auto"/>
              <w:ind w:firstLine="0" w:firstLineChars="0"/>
              <w:jc w:val="center"/>
              <w:rPr>
                <w:rFonts w:hint="eastAsia" w:ascii="方正仿宋_GBK" w:hAnsi="方正仿宋_GBK" w:eastAsia="方正仿宋_GBK" w:cs="方正仿宋_GBK"/>
                <w:b/>
                <w:bCs/>
                <w:spacing w:val="-3"/>
                <w:kern w:val="0"/>
                <w:sz w:val="24"/>
                <w:szCs w:val="24"/>
              </w:rPr>
            </w:pPr>
          </w:p>
        </w:tc>
        <w:tc>
          <w:tcPr>
            <w:tcW w:w="1992" w:type="dxa"/>
          </w:tcPr>
          <w:p>
            <w:pPr>
              <w:snapToGrid w:val="0"/>
              <w:spacing w:line="400" w:lineRule="exact"/>
              <w:ind w:firstLine="0" w:firstLineChars="0"/>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哈恩楚</w:t>
            </w:r>
          </w:p>
        </w:tc>
        <w:tc>
          <w:tcPr>
            <w:tcW w:w="3284"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莎车县国有二林场</w:t>
            </w:r>
          </w:p>
        </w:tc>
        <w:tc>
          <w:tcPr>
            <w:tcW w:w="3076" w:type="dxa"/>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党支部书记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vAlign w:val="center"/>
          </w:tcPr>
          <w:p>
            <w:pPr>
              <w:snapToGrid w:val="0"/>
              <w:spacing w:line="240" w:lineRule="auto"/>
              <w:ind w:firstLine="0" w:firstLineChars="0"/>
              <w:jc w:val="center"/>
              <w:rPr>
                <w:rFonts w:hint="eastAsia" w:ascii="方正仿宋_GBK" w:hAnsi="方正仿宋_GBK" w:eastAsia="方正仿宋_GBK" w:cs="方正仿宋_GBK"/>
                <w:b/>
                <w:spacing w:val="-3"/>
                <w:kern w:val="0"/>
                <w:sz w:val="24"/>
                <w:szCs w:val="24"/>
              </w:rPr>
            </w:pPr>
            <w:r>
              <w:rPr>
                <w:rFonts w:hint="eastAsia" w:ascii="方正仿宋_GBK" w:hAnsi="方正仿宋_GBK" w:eastAsia="方正仿宋_GBK" w:cs="方正仿宋_GBK"/>
                <w:b/>
                <w:spacing w:val="-3"/>
                <w:kern w:val="0"/>
                <w:sz w:val="24"/>
                <w:szCs w:val="24"/>
              </w:rPr>
              <w:t>联系人员</w:t>
            </w:r>
          </w:p>
        </w:tc>
        <w:tc>
          <w:tcPr>
            <w:tcW w:w="8352" w:type="dxa"/>
            <w:gridSpan w:val="3"/>
            <w:vAlign w:val="center"/>
          </w:tcPr>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李贞焕，电话</w:t>
            </w:r>
            <w:r>
              <w:rPr>
                <w:rFonts w:hint="eastAsia" w:ascii="方正仿宋_GBK" w:hAnsi="方正仿宋_GBK" w:eastAsia="方正仿宋_GBK" w:cs="方正仿宋_GBK"/>
                <w:kern w:val="0"/>
                <w:sz w:val="24"/>
                <w:szCs w:val="24"/>
              </w:rPr>
              <w:t>15026305521</w:t>
            </w:r>
          </w:p>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杨新成</w:t>
            </w:r>
            <w:r>
              <w:rPr>
                <w:rFonts w:hint="eastAsia" w:ascii="方正仿宋_GBK" w:hAnsi="方正仿宋_GBK" w:eastAsia="方正仿宋_GBK" w:cs="方正仿宋_GBK"/>
                <w:kern w:val="0"/>
                <w:sz w:val="24"/>
                <w:szCs w:val="24"/>
              </w:rPr>
              <w:t>，电话18034851099</w:t>
            </w:r>
          </w:p>
          <w:p>
            <w:pPr>
              <w:snapToGrid w:val="0"/>
              <w:spacing w:line="400" w:lineRule="exact"/>
              <w:ind w:firstLine="0" w:firstLineChars="0"/>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地址：新疆维吾尔自治区喀什地区莎车县体育路15号</w:t>
            </w:r>
          </w:p>
        </w:tc>
      </w:tr>
    </w:tbl>
    <w:p>
      <w:pPr>
        <w:spacing w:line="500" w:lineRule="exact"/>
        <w:ind w:firstLine="0" w:firstLineChars="0"/>
        <w:rPr>
          <w:rFonts w:eastAsia="黑体" w:cs="Times New Roman"/>
          <w:szCs w:val="32"/>
        </w:rPr>
      </w:pPr>
    </w:p>
    <w:p>
      <w:pPr>
        <w:spacing w:line="500" w:lineRule="exact"/>
        <w:ind w:firstLine="0" w:firstLineChars="0"/>
        <w:rPr>
          <w:rFonts w:eastAsia="黑体" w:cs="Times New Roman"/>
          <w:szCs w:val="32"/>
        </w:rPr>
        <w:sectPr>
          <w:pgSz w:w="11906" w:h="16838"/>
          <w:pgMar w:top="1985" w:right="1418" w:bottom="1701" w:left="1418" w:header="851" w:footer="992" w:gutter="0"/>
          <w:cols w:space="425" w:num="1"/>
          <w:docGrid w:type="linesAndChars" w:linePitch="435" w:charSpace="4710"/>
        </w:sectPr>
      </w:pPr>
    </w:p>
    <w:p>
      <w:pPr>
        <w:spacing w:line="500" w:lineRule="exact"/>
        <w:ind w:firstLine="0" w:firstLineChars="0"/>
        <w:outlineLvl w:val="1"/>
        <w:rPr>
          <w:rFonts w:eastAsia="黑体" w:cs="Times New Roman"/>
          <w:sz w:val="30"/>
          <w:szCs w:val="30"/>
        </w:rPr>
      </w:pPr>
      <w:bookmarkStart w:id="21" w:name="_Toc224309341"/>
      <w:bookmarkStart w:id="22" w:name="_Toc223099638"/>
      <w:r>
        <w:rPr>
          <w:rFonts w:hint="eastAsia" w:eastAsia="黑体" w:cs="Times New Roman"/>
          <w:sz w:val="30"/>
          <w:szCs w:val="30"/>
        </w:rPr>
        <w:t>附件</w:t>
      </w:r>
      <w:r>
        <w:rPr>
          <w:rFonts w:eastAsia="黑体" w:cs="Times New Roman"/>
          <w:sz w:val="30"/>
          <w:szCs w:val="30"/>
        </w:rPr>
        <w:t>8</w:t>
      </w:r>
      <w:bookmarkEnd w:id="21"/>
      <w:bookmarkEnd w:id="22"/>
    </w:p>
    <w:p>
      <w:pPr>
        <w:spacing w:after="217" w:afterLines="50" w:line="500" w:lineRule="exact"/>
        <w:ind w:firstLine="0" w:firstLineChars="0"/>
        <w:jc w:val="center"/>
        <w:rPr>
          <w:rFonts w:hint="eastAsia" w:ascii="仿宋" w:hAnsi="仿宋" w:eastAsia="仿宋" w:cs="华文中宋"/>
          <w:b/>
          <w:bCs/>
          <w:sz w:val="36"/>
          <w:szCs w:val="36"/>
        </w:rPr>
      </w:pPr>
      <w:bookmarkStart w:id="23" w:name="OLE_LINK4"/>
      <w:r>
        <w:rPr>
          <w:rFonts w:hint="eastAsia" w:ascii="仿宋" w:hAnsi="仿宋" w:eastAsia="仿宋" w:cs="华文中宋"/>
          <w:b/>
          <w:bCs/>
          <w:sz w:val="36"/>
          <w:szCs w:val="36"/>
        </w:rPr>
        <w:t>行动计划责任分工</w:t>
      </w:r>
    </w:p>
    <w:bookmarkEnd w:id="23"/>
    <w:tbl>
      <w:tblPr>
        <w:tblStyle w:val="2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962"/>
        <w:gridCol w:w="7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867" w:type="dxa"/>
            <w:vMerge w:val="restart"/>
            <w:vAlign w:val="center"/>
          </w:tcPr>
          <w:p>
            <w:pPr>
              <w:snapToGrid w:val="0"/>
              <w:spacing w:line="240" w:lineRule="auto"/>
              <w:ind w:firstLine="25" w:firstLineChars="9"/>
              <w:jc w:val="center"/>
              <w:rPr>
                <w:rFonts w:hint="eastAsia" w:ascii="仿宋" w:hAnsi="仿宋" w:eastAsia="仿宋" w:cs="方正仿宋_GB2312"/>
                <w:b/>
                <w:bCs/>
                <w:spacing w:val="-3"/>
                <w:sz w:val="28"/>
                <w:szCs w:val="28"/>
              </w:rPr>
            </w:pPr>
            <w:r>
              <w:rPr>
                <w:rFonts w:hint="eastAsia" w:ascii="仿宋" w:hAnsi="仿宋" w:eastAsia="仿宋" w:cs="方正仿宋_GB2312"/>
                <w:b/>
                <w:bCs/>
                <w:spacing w:val="-3"/>
                <w:sz w:val="28"/>
                <w:szCs w:val="28"/>
              </w:rPr>
              <w:t>统筹协调</w:t>
            </w:r>
          </w:p>
        </w:tc>
        <w:tc>
          <w:tcPr>
            <w:tcW w:w="962" w:type="dxa"/>
            <w:vAlign w:val="center"/>
          </w:tcPr>
          <w:p>
            <w:pPr>
              <w:snapToGrid w:val="0"/>
              <w:spacing w:line="240" w:lineRule="auto"/>
              <w:ind w:firstLine="0" w:firstLineChars="0"/>
              <w:jc w:val="center"/>
              <w:rPr>
                <w:rFonts w:hint="eastAsia" w:ascii="仿宋" w:hAnsi="仿宋" w:eastAsia="仿宋" w:cs="方正仿宋_GB2312"/>
                <w:b/>
                <w:bCs/>
                <w:spacing w:val="-3"/>
                <w:sz w:val="28"/>
                <w:szCs w:val="28"/>
              </w:rPr>
            </w:pPr>
            <w:r>
              <w:rPr>
                <w:rFonts w:hint="eastAsia" w:ascii="仿宋" w:hAnsi="仿宋" w:eastAsia="仿宋" w:cs="方正仿宋_GB2312"/>
                <w:b/>
                <w:bCs/>
                <w:spacing w:val="-3"/>
                <w:sz w:val="28"/>
                <w:szCs w:val="28"/>
              </w:rPr>
              <w:t>责任主体</w:t>
            </w:r>
          </w:p>
        </w:tc>
        <w:tc>
          <w:tcPr>
            <w:tcW w:w="7457" w:type="dxa"/>
            <w:vAlign w:val="center"/>
          </w:tcPr>
          <w:p>
            <w:pPr>
              <w:pStyle w:val="75"/>
              <w:snapToGrid w:val="0"/>
              <w:spacing w:before="98"/>
              <w:ind w:left="136"/>
              <w:jc w:val="left"/>
              <w:rPr>
                <w:rFonts w:hint="eastAsia" w:ascii="仿宋" w:hAnsi="仿宋" w:eastAsia="仿宋" w:cs="方正仿宋_GB2312"/>
                <w:spacing w:val="-3"/>
                <w:sz w:val="28"/>
                <w:szCs w:val="28"/>
                <w:lang w:eastAsia="zh-CN"/>
              </w:rPr>
            </w:pPr>
            <w:r>
              <w:rPr>
                <w:rFonts w:hint="eastAsia" w:ascii="仿宋" w:hAnsi="仿宋" w:eastAsia="仿宋" w:cs="方正仿宋_GB2312"/>
                <w:spacing w:val="-3"/>
                <w:sz w:val="28"/>
                <w:szCs w:val="28"/>
                <w:lang w:eastAsia="zh-CN"/>
              </w:rPr>
              <w:t>莎车县人民政府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7" w:type="dxa"/>
            <w:vMerge w:val="continue"/>
            <w:vAlign w:val="center"/>
          </w:tcPr>
          <w:p>
            <w:pPr>
              <w:snapToGrid w:val="0"/>
              <w:spacing w:line="240" w:lineRule="auto"/>
              <w:ind w:firstLine="596"/>
              <w:jc w:val="center"/>
              <w:rPr>
                <w:rFonts w:hint="eastAsia" w:ascii="仿宋" w:hAnsi="仿宋" w:eastAsia="仿宋" w:cs="方正仿宋_GB2312"/>
                <w:b/>
                <w:bCs/>
                <w:spacing w:val="-3"/>
                <w:sz w:val="28"/>
                <w:szCs w:val="28"/>
              </w:rPr>
            </w:pPr>
          </w:p>
        </w:tc>
        <w:tc>
          <w:tcPr>
            <w:tcW w:w="962" w:type="dxa"/>
            <w:vAlign w:val="center"/>
          </w:tcPr>
          <w:p>
            <w:pPr>
              <w:snapToGrid w:val="0"/>
              <w:spacing w:line="240" w:lineRule="auto"/>
              <w:ind w:firstLine="0" w:firstLineChars="0"/>
              <w:jc w:val="center"/>
              <w:rPr>
                <w:rFonts w:hint="eastAsia" w:ascii="仿宋" w:hAnsi="仿宋" w:eastAsia="仿宋" w:cs="方正仿宋_GB2312"/>
                <w:b/>
                <w:bCs/>
                <w:spacing w:val="-3"/>
                <w:sz w:val="28"/>
                <w:szCs w:val="28"/>
              </w:rPr>
            </w:pPr>
            <w:r>
              <w:rPr>
                <w:rFonts w:hint="eastAsia" w:ascii="仿宋" w:hAnsi="仿宋" w:eastAsia="仿宋" w:cs="方正仿宋_GB2312"/>
                <w:b/>
                <w:bCs/>
                <w:spacing w:val="-3"/>
                <w:sz w:val="28"/>
                <w:szCs w:val="28"/>
              </w:rPr>
              <w:t>责任内容</w:t>
            </w:r>
          </w:p>
        </w:tc>
        <w:tc>
          <w:tcPr>
            <w:tcW w:w="7457" w:type="dxa"/>
          </w:tcPr>
          <w:p>
            <w:pPr>
              <w:pStyle w:val="75"/>
              <w:snapToGrid w:val="0"/>
              <w:spacing w:before="101"/>
              <w:ind w:left="113" w:right="108"/>
              <w:rPr>
                <w:rFonts w:hint="eastAsia" w:ascii="仿宋" w:hAnsi="仿宋" w:eastAsia="仿宋" w:cs="方正仿宋_GB2312"/>
                <w:spacing w:val="-3"/>
                <w:sz w:val="28"/>
                <w:szCs w:val="28"/>
                <w:lang w:eastAsia="zh-CN"/>
              </w:rPr>
            </w:pPr>
            <w:r>
              <w:rPr>
                <w:rFonts w:hint="eastAsia" w:ascii="仿宋" w:hAnsi="仿宋" w:eastAsia="仿宋" w:cs="方正仿宋_GB2312"/>
                <w:spacing w:val="-3"/>
                <w:sz w:val="28"/>
                <w:szCs w:val="28"/>
                <w:lang w:eastAsia="zh-CN"/>
              </w:rPr>
              <w:t>组建由莎车县委副书记、县长共同担任组长的莎车巴旦姆申报中国重要农业文化遗产及《新疆莎车巴旦姆种植系统传承发展三年行动规划》工作领导小组，强化顶层设计与统筹协调。主要负责审批农业文化遗产传承发展行动计划方案、年度目标及重大调整；统筹协调相关部门，如林草局、文化和广电旅游体育局、宣传部、老城景区管委会等，解决跨部门重大问题如遗产地土地用途协调、多部门资金整合；定期听取行动计划执行情况汇报，审核关键节点成果，如本地老品种调查报告、活化项目验收报告；对接上级主管部门及外部专家资源，争取政策、资金与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7" w:type="dxa"/>
            <w:vMerge w:val="restart"/>
            <w:vAlign w:val="center"/>
          </w:tcPr>
          <w:p>
            <w:pPr>
              <w:snapToGrid w:val="0"/>
              <w:spacing w:line="240" w:lineRule="auto"/>
              <w:ind w:firstLine="25" w:firstLineChars="9"/>
              <w:jc w:val="center"/>
              <w:rPr>
                <w:rFonts w:hint="eastAsia" w:ascii="仿宋" w:hAnsi="仿宋" w:eastAsia="仿宋" w:cs="方正仿宋_GB2312"/>
                <w:b/>
                <w:bCs/>
                <w:spacing w:val="-3"/>
                <w:sz w:val="28"/>
                <w:szCs w:val="28"/>
              </w:rPr>
            </w:pPr>
            <w:r>
              <w:rPr>
                <w:rFonts w:hint="eastAsia" w:ascii="仿宋" w:hAnsi="仿宋" w:eastAsia="仿宋" w:cs="方正仿宋_GB2312"/>
                <w:b/>
                <w:bCs/>
                <w:spacing w:val="-3"/>
                <w:sz w:val="28"/>
                <w:szCs w:val="28"/>
              </w:rPr>
              <w:t>项目执行</w:t>
            </w:r>
          </w:p>
        </w:tc>
        <w:tc>
          <w:tcPr>
            <w:tcW w:w="962" w:type="dxa"/>
            <w:vAlign w:val="center"/>
          </w:tcPr>
          <w:p>
            <w:pPr>
              <w:snapToGrid w:val="0"/>
              <w:spacing w:line="240" w:lineRule="auto"/>
              <w:ind w:firstLine="32" w:firstLineChars="11"/>
              <w:jc w:val="center"/>
              <w:rPr>
                <w:rFonts w:hint="eastAsia" w:ascii="仿宋" w:hAnsi="仿宋" w:eastAsia="仿宋" w:cs="方正仿宋_GB2312"/>
                <w:b/>
                <w:bCs/>
                <w:spacing w:val="-3"/>
                <w:sz w:val="28"/>
                <w:szCs w:val="28"/>
              </w:rPr>
            </w:pPr>
            <w:bookmarkStart w:id="24" w:name="OLE_LINK25"/>
            <w:r>
              <w:rPr>
                <w:rFonts w:hint="eastAsia" w:ascii="仿宋" w:hAnsi="仿宋" w:eastAsia="仿宋" w:cs="方正仿宋_GB2312"/>
                <w:b/>
                <w:bCs/>
                <w:spacing w:val="-3"/>
                <w:sz w:val="28"/>
                <w:szCs w:val="28"/>
              </w:rPr>
              <w:t>责任主体</w:t>
            </w:r>
            <w:bookmarkEnd w:id="24"/>
          </w:p>
        </w:tc>
        <w:tc>
          <w:tcPr>
            <w:tcW w:w="7457" w:type="dxa"/>
            <w:vAlign w:val="center"/>
          </w:tcPr>
          <w:p>
            <w:pPr>
              <w:pStyle w:val="75"/>
              <w:snapToGrid w:val="0"/>
              <w:spacing w:before="101"/>
              <w:ind w:left="136"/>
              <w:rPr>
                <w:rFonts w:hint="eastAsia" w:ascii="仿宋" w:hAnsi="仿宋" w:eastAsia="仿宋" w:cs="方正仿宋_GB2312"/>
                <w:spacing w:val="-3"/>
                <w:sz w:val="28"/>
                <w:szCs w:val="28"/>
                <w:lang w:eastAsia="zh-CN"/>
              </w:rPr>
            </w:pPr>
            <w:r>
              <w:rPr>
                <w:rFonts w:hint="eastAsia" w:ascii="仿宋" w:hAnsi="仿宋" w:eastAsia="仿宋" w:cs="方正仿宋_GB2312"/>
                <w:spacing w:val="-3"/>
                <w:sz w:val="28"/>
                <w:szCs w:val="28"/>
                <w:lang w:eastAsia="zh-CN"/>
              </w:rPr>
              <w:t>莎车县</w:t>
            </w:r>
            <w:r>
              <w:rPr>
                <w:rFonts w:hint="eastAsia" w:ascii="仿宋" w:hAnsi="仿宋" w:eastAsia="仿宋" w:cs="方正仿宋_GB2312"/>
                <w:spacing w:val="-3"/>
                <w:sz w:val="28"/>
                <w:szCs w:val="28"/>
                <w:lang w:val="en-US" w:eastAsia="zh-CN"/>
              </w:rPr>
              <w:t>林草局</w:t>
            </w:r>
            <w:r>
              <w:rPr>
                <w:rFonts w:hint="eastAsia" w:ascii="仿宋" w:hAnsi="仿宋" w:eastAsia="仿宋" w:cs="方正仿宋_GB2312"/>
                <w:spacing w:val="-3"/>
                <w:sz w:val="28"/>
                <w:szCs w:val="28"/>
                <w:lang w:eastAsia="zh-CN"/>
              </w:rPr>
              <w:t>、阿热勒乡政府、阿瓦提镇政府、塔尕尔其镇政府、二林场。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7" w:type="dxa"/>
            <w:vMerge w:val="continue"/>
            <w:vAlign w:val="center"/>
          </w:tcPr>
          <w:p>
            <w:pPr>
              <w:snapToGrid w:val="0"/>
              <w:spacing w:line="240" w:lineRule="auto"/>
              <w:ind w:firstLine="596"/>
              <w:jc w:val="center"/>
              <w:rPr>
                <w:rFonts w:hint="eastAsia" w:ascii="仿宋" w:hAnsi="仿宋" w:eastAsia="仿宋" w:cs="方正仿宋_GB2312"/>
                <w:b/>
                <w:bCs/>
                <w:color w:val="EE0000"/>
                <w:spacing w:val="-3"/>
                <w:sz w:val="28"/>
                <w:szCs w:val="28"/>
              </w:rPr>
            </w:pPr>
          </w:p>
        </w:tc>
        <w:tc>
          <w:tcPr>
            <w:tcW w:w="962" w:type="dxa"/>
            <w:vAlign w:val="center"/>
          </w:tcPr>
          <w:p>
            <w:pPr>
              <w:snapToGrid w:val="0"/>
              <w:spacing w:line="240" w:lineRule="auto"/>
              <w:ind w:firstLine="0" w:firstLineChars="0"/>
              <w:jc w:val="center"/>
              <w:rPr>
                <w:rFonts w:hint="eastAsia" w:ascii="仿宋" w:hAnsi="仿宋" w:eastAsia="仿宋" w:cs="方正仿宋_GB2312"/>
                <w:b/>
                <w:bCs/>
                <w:color w:val="000000" w:themeColor="text1"/>
                <w:spacing w:val="-3"/>
                <w:sz w:val="28"/>
                <w:szCs w:val="28"/>
              </w:rPr>
            </w:pPr>
            <w:r>
              <w:rPr>
                <w:rFonts w:hint="eastAsia" w:ascii="仿宋" w:hAnsi="仿宋" w:eastAsia="仿宋" w:cs="方正仿宋_GB2312"/>
                <w:b/>
                <w:bCs/>
                <w:color w:val="000000" w:themeColor="text1"/>
                <w:spacing w:val="-3"/>
                <w:sz w:val="28"/>
                <w:szCs w:val="28"/>
              </w:rPr>
              <w:t>责任内容</w:t>
            </w:r>
          </w:p>
        </w:tc>
        <w:tc>
          <w:tcPr>
            <w:tcW w:w="7457" w:type="dxa"/>
          </w:tcPr>
          <w:p>
            <w:pPr>
              <w:pStyle w:val="75"/>
              <w:snapToGrid w:val="0"/>
              <w:spacing w:before="100"/>
              <w:ind w:left="119" w:right="107"/>
              <w:rPr>
                <w:rFonts w:hint="eastAsia" w:ascii="仿宋" w:hAnsi="仿宋" w:eastAsia="仿宋" w:cs="方正仿宋_GB2312"/>
                <w:color w:val="000000" w:themeColor="text1"/>
                <w:spacing w:val="-3"/>
                <w:sz w:val="28"/>
                <w:szCs w:val="28"/>
                <w:lang w:eastAsia="zh-CN"/>
              </w:rPr>
            </w:pPr>
            <w:r>
              <w:rPr>
                <w:rFonts w:hint="eastAsia" w:ascii="仿宋" w:hAnsi="仿宋" w:eastAsia="仿宋" w:cs="方正仿宋_GB2312"/>
                <w:color w:val="000000" w:themeColor="text1"/>
                <w:spacing w:val="-3"/>
                <w:sz w:val="28"/>
                <w:szCs w:val="28"/>
                <w:lang w:eastAsia="zh-CN"/>
              </w:rPr>
              <w:t>制定莎车巴旦姆农业文化遗产三年行动计划详细执行细则、时间进度表及任务分解表；实时跟踪任务进度，收集执行中的问题反馈至县政府；组织工作会议，协调解决如保护、传承、发展、利用中国重要农业文化遗产工作中的协作问题，每年整理计划执行数据和情况形成工作报告报送至莎车县政府、县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7" w:type="dxa"/>
            <w:vMerge w:val="restart"/>
            <w:vAlign w:val="center"/>
          </w:tcPr>
          <w:p>
            <w:pPr>
              <w:snapToGrid w:val="0"/>
              <w:spacing w:line="240" w:lineRule="auto"/>
              <w:ind w:firstLine="25" w:firstLineChars="9"/>
              <w:jc w:val="center"/>
              <w:rPr>
                <w:rFonts w:hint="eastAsia" w:ascii="仿宋" w:hAnsi="仿宋" w:eastAsia="仿宋" w:cs="方正仿宋_GB2312"/>
                <w:b/>
                <w:bCs/>
                <w:color w:val="EE0000"/>
                <w:spacing w:val="-3"/>
                <w:sz w:val="28"/>
                <w:szCs w:val="28"/>
              </w:rPr>
            </w:pPr>
            <w:r>
              <w:rPr>
                <w:rFonts w:hint="eastAsia" w:ascii="仿宋" w:hAnsi="仿宋" w:eastAsia="仿宋" w:cs="方正仿宋_GB2312"/>
                <w:b/>
                <w:bCs/>
                <w:color w:val="000000" w:themeColor="text1"/>
                <w:spacing w:val="-3"/>
                <w:sz w:val="28"/>
                <w:szCs w:val="28"/>
              </w:rPr>
              <w:t>监督评估</w:t>
            </w:r>
          </w:p>
        </w:tc>
        <w:tc>
          <w:tcPr>
            <w:tcW w:w="962" w:type="dxa"/>
            <w:vAlign w:val="center"/>
          </w:tcPr>
          <w:p>
            <w:pPr>
              <w:snapToGrid w:val="0"/>
              <w:spacing w:line="240" w:lineRule="auto"/>
              <w:ind w:firstLine="32" w:firstLineChars="11"/>
              <w:jc w:val="center"/>
              <w:rPr>
                <w:rFonts w:hint="eastAsia" w:ascii="仿宋" w:hAnsi="仿宋" w:eastAsia="仿宋" w:cs="方正仿宋_GB2312"/>
                <w:b/>
                <w:bCs/>
                <w:color w:val="000000" w:themeColor="text1"/>
                <w:spacing w:val="-3"/>
                <w:sz w:val="28"/>
                <w:szCs w:val="28"/>
              </w:rPr>
            </w:pPr>
            <w:r>
              <w:rPr>
                <w:rFonts w:hint="eastAsia" w:ascii="仿宋" w:hAnsi="仿宋" w:eastAsia="仿宋" w:cs="方正仿宋_GB2312"/>
                <w:b/>
                <w:bCs/>
                <w:color w:val="000000" w:themeColor="text1"/>
                <w:spacing w:val="-3"/>
                <w:sz w:val="28"/>
                <w:szCs w:val="28"/>
              </w:rPr>
              <w:t>责任主体</w:t>
            </w:r>
          </w:p>
        </w:tc>
        <w:tc>
          <w:tcPr>
            <w:tcW w:w="7457" w:type="dxa"/>
            <w:vAlign w:val="center"/>
          </w:tcPr>
          <w:p>
            <w:pPr>
              <w:snapToGrid w:val="0"/>
              <w:spacing w:line="240" w:lineRule="auto"/>
              <w:ind w:firstLine="197" w:firstLineChars="67"/>
              <w:rPr>
                <w:rFonts w:hint="eastAsia" w:ascii="仿宋" w:hAnsi="仿宋" w:eastAsia="仿宋" w:cs="方正仿宋_GB2312"/>
                <w:color w:val="000000" w:themeColor="text1"/>
                <w:spacing w:val="-3"/>
                <w:sz w:val="28"/>
                <w:szCs w:val="28"/>
              </w:rPr>
            </w:pPr>
            <w:r>
              <w:rPr>
                <w:rFonts w:hint="eastAsia" w:ascii="仿宋" w:hAnsi="仿宋" w:eastAsia="仿宋" w:cs="方正仿宋_GB2312"/>
                <w:color w:val="000000" w:themeColor="text1"/>
                <w:spacing w:val="-3"/>
                <w:sz w:val="28"/>
                <w:szCs w:val="28"/>
              </w:rPr>
              <w:t>莎车巴旦</w:t>
            </w:r>
            <w:r>
              <w:rPr>
                <w:rFonts w:hint="eastAsia" w:ascii="仿宋" w:hAnsi="仿宋" w:eastAsia="仿宋" w:cs="方正仿宋_GB2312"/>
                <w:color w:val="000000" w:themeColor="text1"/>
                <w:spacing w:val="-3"/>
                <w:sz w:val="28"/>
                <w:szCs w:val="28"/>
                <w:lang w:eastAsia="zh-CN"/>
              </w:rPr>
              <w:t>姆</w:t>
            </w:r>
            <w:r>
              <w:rPr>
                <w:rFonts w:hint="eastAsia" w:ascii="仿宋" w:hAnsi="仿宋" w:eastAsia="仿宋" w:cs="方正仿宋_GB2312"/>
                <w:color w:val="000000" w:themeColor="text1"/>
                <w:spacing w:val="-3"/>
                <w:sz w:val="28"/>
                <w:szCs w:val="28"/>
              </w:rPr>
              <w:t>栽培系统专家咨询工作委员会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7" w:type="dxa"/>
            <w:vMerge w:val="continue"/>
            <w:vAlign w:val="center"/>
          </w:tcPr>
          <w:p>
            <w:pPr>
              <w:snapToGrid w:val="0"/>
              <w:spacing w:line="240" w:lineRule="auto"/>
              <w:ind w:firstLine="596"/>
              <w:jc w:val="center"/>
              <w:rPr>
                <w:rFonts w:hint="eastAsia" w:ascii="仿宋" w:hAnsi="仿宋" w:eastAsia="仿宋" w:cs="方正仿宋_GB2312"/>
                <w:b/>
                <w:bCs/>
                <w:color w:val="EE0000"/>
                <w:spacing w:val="-3"/>
                <w:sz w:val="28"/>
                <w:szCs w:val="28"/>
              </w:rPr>
            </w:pPr>
          </w:p>
        </w:tc>
        <w:tc>
          <w:tcPr>
            <w:tcW w:w="962" w:type="dxa"/>
            <w:vAlign w:val="center"/>
          </w:tcPr>
          <w:p>
            <w:pPr>
              <w:snapToGrid w:val="0"/>
              <w:spacing w:line="240" w:lineRule="auto"/>
              <w:ind w:firstLine="0" w:firstLineChars="0"/>
              <w:jc w:val="center"/>
              <w:rPr>
                <w:rFonts w:hint="eastAsia" w:ascii="仿宋" w:hAnsi="仿宋" w:eastAsia="仿宋" w:cs="方正仿宋_GB2312"/>
                <w:b/>
                <w:bCs/>
                <w:color w:val="000000" w:themeColor="text1"/>
                <w:spacing w:val="-3"/>
                <w:sz w:val="28"/>
                <w:szCs w:val="28"/>
              </w:rPr>
            </w:pPr>
            <w:r>
              <w:rPr>
                <w:rFonts w:hint="eastAsia" w:ascii="仿宋" w:hAnsi="仿宋" w:eastAsia="仿宋" w:cs="方正仿宋_GB2312"/>
                <w:b/>
                <w:bCs/>
                <w:color w:val="000000" w:themeColor="text1"/>
                <w:spacing w:val="-3"/>
                <w:sz w:val="28"/>
                <w:szCs w:val="28"/>
              </w:rPr>
              <w:t>责任内容</w:t>
            </w:r>
          </w:p>
        </w:tc>
        <w:tc>
          <w:tcPr>
            <w:tcW w:w="7457" w:type="dxa"/>
          </w:tcPr>
          <w:p>
            <w:pPr>
              <w:snapToGrid w:val="0"/>
              <w:spacing w:line="240" w:lineRule="auto"/>
              <w:ind w:firstLine="0" w:firstLineChars="0"/>
              <w:rPr>
                <w:rFonts w:hint="eastAsia" w:ascii="仿宋" w:hAnsi="仿宋" w:eastAsia="仿宋" w:cs="方正仿宋_GB2312"/>
                <w:color w:val="000000" w:themeColor="text1"/>
                <w:spacing w:val="-3"/>
                <w:sz w:val="28"/>
                <w:szCs w:val="28"/>
              </w:rPr>
            </w:pPr>
            <w:r>
              <w:rPr>
                <w:rFonts w:hint="eastAsia" w:ascii="仿宋" w:hAnsi="仿宋" w:eastAsia="仿宋" w:cs="方正仿宋_GB2312"/>
                <w:color w:val="000000" w:themeColor="text1"/>
                <w:spacing w:val="-3"/>
                <w:sz w:val="28"/>
                <w:szCs w:val="28"/>
              </w:rPr>
              <w:t>明确《新疆莎车巴旦</w:t>
            </w:r>
            <w:r>
              <w:rPr>
                <w:rFonts w:hint="eastAsia" w:ascii="仿宋" w:hAnsi="仿宋" w:eastAsia="仿宋" w:cs="方正仿宋_GB2312"/>
                <w:color w:val="000000" w:themeColor="text1"/>
                <w:spacing w:val="-3"/>
                <w:sz w:val="28"/>
                <w:szCs w:val="28"/>
                <w:lang w:eastAsia="zh-CN"/>
              </w:rPr>
              <w:t>姆</w:t>
            </w:r>
            <w:r>
              <w:rPr>
                <w:rFonts w:hint="eastAsia" w:ascii="仿宋" w:hAnsi="仿宋" w:eastAsia="仿宋" w:cs="方正仿宋_GB2312"/>
                <w:color w:val="000000" w:themeColor="text1"/>
                <w:spacing w:val="-3"/>
                <w:sz w:val="28"/>
                <w:szCs w:val="28"/>
              </w:rPr>
              <w:t>栽培系统传承发展行动计划》监督评估体系与考核标准，全程跟踪行动计划执行过程，开展常态化监督检查，重点核查遗产地保护措施落实、项目执行进度与质量、资金使用规范性、各责任主体履职情况等；组织开展年度专项评估和三年行动计划终期综合评估，提出问题整改意见和优化建议；对关键节点成果如本地巴旦</w:t>
            </w:r>
            <w:r>
              <w:rPr>
                <w:rFonts w:hint="eastAsia" w:ascii="仿宋" w:hAnsi="仿宋" w:eastAsia="仿宋" w:cs="方正仿宋_GB2312"/>
                <w:color w:val="000000" w:themeColor="text1"/>
                <w:spacing w:val="-3"/>
                <w:sz w:val="28"/>
                <w:szCs w:val="28"/>
                <w:lang w:eastAsia="zh-CN"/>
              </w:rPr>
              <w:t>姆</w:t>
            </w:r>
            <w:r>
              <w:rPr>
                <w:rFonts w:hint="eastAsia" w:ascii="仿宋" w:hAnsi="仿宋" w:eastAsia="仿宋" w:cs="方正仿宋_GB2312"/>
                <w:color w:val="000000" w:themeColor="text1"/>
                <w:spacing w:val="-3"/>
                <w:sz w:val="28"/>
                <w:szCs w:val="28"/>
              </w:rPr>
              <w:t>种质资源、巴旦</w:t>
            </w:r>
            <w:r>
              <w:rPr>
                <w:rFonts w:hint="eastAsia" w:ascii="仿宋" w:hAnsi="仿宋" w:eastAsia="仿宋" w:cs="方正仿宋_GB2312"/>
                <w:color w:val="000000" w:themeColor="text1"/>
                <w:spacing w:val="-3"/>
                <w:sz w:val="28"/>
                <w:szCs w:val="28"/>
                <w:lang w:eastAsia="zh-CN"/>
              </w:rPr>
              <w:t>姆</w:t>
            </w:r>
            <w:r>
              <w:rPr>
                <w:rFonts w:hint="eastAsia" w:ascii="仿宋" w:hAnsi="仿宋" w:eastAsia="仿宋" w:cs="方正仿宋_GB2312"/>
                <w:color w:val="000000" w:themeColor="text1"/>
                <w:spacing w:val="-3"/>
                <w:sz w:val="28"/>
                <w:szCs w:val="28"/>
              </w:rPr>
              <w:t>文化活化项目验收报告进行专业审核论证，出具独立的专家评审意见，为统筹协调</w:t>
            </w:r>
            <w:r>
              <w:rPr>
                <w:rFonts w:hint="eastAsia" w:ascii="仿宋" w:hAnsi="仿宋" w:eastAsia="仿宋" w:cs="方正仿宋_GB2312"/>
                <w:color w:val="000000" w:themeColor="text1"/>
                <w:spacing w:val="-3"/>
                <w:sz w:val="28"/>
                <w:szCs w:val="28"/>
                <w:lang w:eastAsia="zh-CN"/>
              </w:rPr>
              <w:t>和</w:t>
            </w:r>
            <w:r>
              <w:rPr>
                <w:rFonts w:hint="eastAsia" w:ascii="仿宋" w:hAnsi="仿宋" w:eastAsia="仿宋" w:cs="方正仿宋_GB2312"/>
                <w:color w:val="000000" w:themeColor="text1"/>
                <w:spacing w:val="-3"/>
                <w:sz w:val="28"/>
                <w:szCs w:val="28"/>
              </w:rPr>
              <w:t>审核决策提供专业支撑；跟踪督促问题整改落实，对整改情况进行复核验收，确保行动计划执行偏差及时纠正，保障新疆莎车巴旦</w:t>
            </w:r>
            <w:r>
              <w:rPr>
                <w:rFonts w:hint="eastAsia" w:ascii="仿宋" w:hAnsi="仿宋" w:eastAsia="仿宋" w:cs="方正仿宋_GB2312"/>
                <w:color w:val="000000" w:themeColor="text1"/>
                <w:spacing w:val="-3"/>
                <w:sz w:val="28"/>
                <w:szCs w:val="28"/>
                <w:lang w:eastAsia="zh-CN"/>
              </w:rPr>
              <w:t>姆</w:t>
            </w:r>
            <w:r>
              <w:rPr>
                <w:rFonts w:hint="eastAsia" w:ascii="仿宋" w:hAnsi="仿宋" w:eastAsia="仿宋" w:cs="方正仿宋_GB2312"/>
                <w:color w:val="000000" w:themeColor="text1"/>
                <w:spacing w:val="-3"/>
                <w:sz w:val="28"/>
                <w:szCs w:val="28"/>
              </w:rPr>
              <w:t>栽培系统保护传承工作达到预期目标。</w:t>
            </w:r>
          </w:p>
        </w:tc>
      </w:tr>
    </w:tbl>
    <w:p>
      <w:pPr>
        <w:spacing w:line="500" w:lineRule="exact"/>
        <w:ind w:firstLine="0" w:firstLineChars="0"/>
        <w:rPr>
          <w:rFonts w:eastAsia="黑体" w:cs="Times New Roman"/>
          <w:szCs w:val="32"/>
        </w:rPr>
      </w:pPr>
    </w:p>
    <w:p>
      <w:pPr>
        <w:spacing w:line="500" w:lineRule="exact"/>
        <w:ind w:firstLine="0" w:firstLineChars="0"/>
        <w:rPr>
          <w:rFonts w:eastAsia="黑体" w:cs="Times New Roman"/>
          <w:szCs w:val="32"/>
        </w:rPr>
      </w:pPr>
    </w:p>
    <w:sectPr>
      <w:pgSz w:w="11906" w:h="16838"/>
      <w:pgMar w:top="1985" w:right="1418" w:bottom="1701" w:left="1418" w:header="851" w:footer="992" w:gutter="0"/>
      <w:cols w:space="425" w:num="1"/>
      <w:docGrid w:type="linesAndChars" w:linePitch="435" w:charSpace="47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84"/>
      </w:pPr>
      <w:r>
        <w:separator/>
      </w:r>
    </w:p>
  </w:endnote>
  <w:endnote w:type="continuationSeparator" w:id="1">
    <w:p>
      <w:pPr>
        <w:spacing w:line="240" w:lineRule="auto"/>
        <w:ind w:firstLine="68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___WRD_EMBED_SUB_45">
    <w:altName w:val="微软雅黑"/>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仿宋_GB2312">
    <w:altName w:val="仿宋"/>
    <w:panose1 w:val="00000000000000000000"/>
    <w:charset w:val="86"/>
    <w:family w:val="auto"/>
    <w:pitch w:val="default"/>
    <w:sig w:usb0="00000000" w:usb1="00000000" w:usb2="00000012" w:usb3="00000000" w:csb0="00040001" w:csb1="00000000"/>
  </w:font>
  <w:font w:name="方正仿宋_GBK">
    <w:panose1 w:val="03000509000000000000"/>
    <w:charset w:val="86"/>
    <w:family w:val="auto"/>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pict>
        <v:shape id="文本框 1" o:spid="_x0000_s1027" o:spt="202" type="#_x0000_t202" style="position:absolute;left:0pt;margin-left:215.4pt;margin-top:-0.2pt;height:144pt;width:45.4pt;mso-position-horizontal-relative:margin;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">
          <v:path/>
          <v:fill on="f" focussize="0,0"/>
          <v:stroke on="f" weight="0.5pt" joinstyle="miter"/>
          <v:imagedata o:title=""/>
          <o:lock v:ext="edit"/>
          <v:textbox inset="0mm,0mm,0mm,0mm" style="mso-fit-shape-to-text:t;">
            <w:txbxContent>
              <w:p>
                <w:pPr>
                  <w:pStyle w:val="16"/>
                  <w:ind w:firstLine="360"/>
                </w:pPr>
                <w:r>
                  <w:fldChar w:fldCharType="begin"/>
                </w:r>
                <w:r>
                  <w:instrText xml:space="preserve"> PAGE  \* MERGEFORMAT </w:instrText>
                </w:r>
                <w:r>
                  <w:fldChar w:fldCharType="separate"/>
                </w:r>
                <w:r>
                  <w:t>41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pict>
        <v:shape id="_x0000_s1026" o:spid="_x0000_s1026" o:spt="202" type="#_x0000_t202" style="position:absolute;left:0pt;margin-left:215.4pt;margin-top:-0.2pt;height:144pt;width:43.2pt;mso-position-horizontal-relative:margin;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">
          <v:path/>
          <v:fill on="f" focussize="0,0"/>
          <v:stroke on="f" weight="0.5pt" joinstyle="miter"/>
          <v:imagedata o:title=""/>
          <o:lock v:ext="edit"/>
          <v:textbox inset="0mm,0mm,0mm,0mm" style="mso-fit-shape-to-text:t;">
            <w:txbxContent>
              <w:p>
                <w:pPr>
                  <w:pStyle w:val="16"/>
                  <w:ind w:firstLine="360"/>
                </w:pPr>
                <w:r>
                  <w:fldChar w:fldCharType="begin"/>
                </w:r>
                <w:r>
                  <w:instrText xml:space="preserve"> PAGE  \* MERGEFORMAT </w:instrText>
                </w:r>
                <w:r>
                  <w:fldChar w:fldCharType="separate"/>
                </w:r>
                <w:r>
                  <w:t>42</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84"/>
      </w:pPr>
      <w:r>
        <w:separator/>
      </w:r>
    </w:p>
  </w:footnote>
  <w:footnote w:type="continuationSeparator" w:id="1">
    <w:p>
      <w:pPr>
        <w:spacing w:line="240" w:lineRule="auto"/>
        <w:ind w:firstLine="68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343"/>
  <w:drawingGridVerticalSpacing w:val="435"/>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652B3"/>
    <w:rsid w:val="00000D42"/>
    <w:rsid w:val="00001751"/>
    <w:rsid w:val="00004F75"/>
    <w:rsid w:val="00005385"/>
    <w:rsid w:val="00006177"/>
    <w:rsid w:val="00006CB2"/>
    <w:rsid w:val="00011698"/>
    <w:rsid w:val="00016492"/>
    <w:rsid w:val="000172AD"/>
    <w:rsid w:val="00026F61"/>
    <w:rsid w:val="000276F0"/>
    <w:rsid w:val="00027B99"/>
    <w:rsid w:val="00041E2A"/>
    <w:rsid w:val="00044FC7"/>
    <w:rsid w:val="000514A1"/>
    <w:rsid w:val="00052B48"/>
    <w:rsid w:val="00054206"/>
    <w:rsid w:val="00061DFC"/>
    <w:rsid w:val="00063F99"/>
    <w:rsid w:val="000649EA"/>
    <w:rsid w:val="00071636"/>
    <w:rsid w:val="0007463B"/>
    <w:rsid w:val="0008040B"/>
    <w:rsid w:val="00084966"/>
    <w:rsid w:val="00085163"/>
    <w:rsid w:val="000856AA"/>
    <w:rsid w:val="0009367D"/>
    <w:rsid w:val="00097B05"/>
    <w:rsid w:val="000A15EA"/>
    <w:rsid w:val="000A3202"/>
    <w:rsid w:val="000A49FA"/>
    <w:rsid w:val="000B073C"/>
    <w:rsid w:val="000B3475"/>
    <w:rsid w:val="000C2D24"/>
    <w:rsid w:val="000D0743"/>
    <w:rsid w:val="000D0C89"/>
    <w:rsid w:val="000D1861"/>
    <w:rsid w:val="000D2978"/>
    <w:rsid w:val="000D459F"/>
    <w:rsid w:val="000D5060"/>
    <w:rsid w:val="000D7635"/>
    <w:rsid w:val="000D7BF3"/>
    <w:rsid w:val="000E608D"/>
    <w:rsid w:val="000F24D9"/>
    <w:rsid w:val="000F2633"/>
    <w:rsid w:val="000F5702"/>
    <w:rsid w:val="000F6793"/>
    <w:rsid w:val="00104536"/>
    <w:rsid w:val="001046EF"/>
    <w:rsid w:val="00106364"/>
    <w:rsid w:val="00106EE6"/>
    <w:rsid w:val="00114379"/>
    <w:rsid w:val="00117085"/>
    <w:rsid w:val="00117E2C"/>
    <w:rsid w:val="00130D9A"/>
    <w:rsid w:val="00131A35"/>
    <w:rsid w:val="00132A9A"/>
    <w:rsid w:val="001361F5"/>
    <w:rsid w:val="0014291B"/>
    <w:rsid w:val="00152068"/>
    <w:rsid w:val="0015267E"/>
    <w:rsid w:val="00152724"/>
    <w:rsid w:val="00153ACD"/>
    <w:rsid w:val="00153C35"/>
    <w:rsid w:val="0015503D"/>
    <w:rsid w:val="00171AA0"/>
    <w:rsid w:val="00172781"/>
    <w:rsid w:val="00176C14"/>
    <w:rsid w:val="00176E0C"/>
    <w:rsid w:val="00181188"/>
    <w:rsid w:val="001814EB"/>
    <w:rsid w:val="0018191E"/>
    <w:rsid w:val="00183D0D"/>
    <w:rsid w:val="0018404B"/>
    <w:rsid w:val="0018497E"/>
    <w:rsid w:val="00192104"/>
    <w:rsid w:val="0019383F"/>
    <w:rsid w:val="001A1988"/>
    <w:rsid w:val="001A289D"/>
    <w:rsid w:val="001A5682"/>
    <w:rsid w:val="001A5959"/>
    <w:rsid w:val="001B333C"/>
    <w:rsid w:val="001B5E06"/>
    <w:rsid w:val="001C07B5"/>
    <w:rsid w:val="001C6011"/>
    <w:rsid w:val="001D1E3D"/>
    <w:rsid w:val="001D335A"/>
    <w:rsid w:val="001D40B0"/>
    <w:rsid w:val="001D61AB"/>
    <w:rsid w:val="001D6FEC"/>
    <w:rsid w:val="001E0140"/>
    <w:rsid w:val="001E51E7"/>
    <w:rsid w:val="001F5A03"/>
    <w:rsid w:val="00202371"/>
    <w:rsid w:val="002119D4"/>
    <w:rsid w:val="00212554"/>
    <w:rsid w:val="00213BFC"/>
    <w:rsid w:val="00215AF5"/>
    <w:rsid w:val="00222776"/>
    <w:rsid w:val="00225E8E"/>
    <w:rsid w:val="00225F0C"/>
    <w:rsid w:val="0023233D"/>
    <w:rsid w:val="00232C62"/>
    <w:rsid w:val="00232DAE"/>
    <w:rsid w:val="0023318F"/>
    <w:rsid w:val="002351FD"/>
    <w:rsid w:val="00237549"/>
    <w:rsid w:val="002449AB"/>
    <w:rsid w:val="00244BEF"/>
    <w:rsid w:val="00245F28"/>
    <w:rsid w:val="0024728F"/>
    <w:rsid w:val="00247F51"/>
    <w:rsid w:val="00254D07"/>
    <w:rsid w:val="002634D5"/>
    <w:rsid w:val="00264012"/>
    <w:rsid w:val="0026734F"/>
    <w:rsid w:val="0027006D"/>
    <w:rsid w:val="00272086"/>
    <w:rsid w:val="00273BA9"/>
    <w:rsid w:val="002752EC"/>
    <w:rsid w:val="00275BFC"/>
    <w:rsid w:val="00277912"/>
    <w:rsid w:val="00277DFD"/>
    <w:rsid w:val="00281202"/>
    <w:rsid w:val="00285C81"/>
    <w:rsid w:val="002870F3"/>
    <w:rsid w:val="00291026"/>
    <w:rsid w:val="002933AE"/>
    <w:rsid w:val="002955A3"/>
    <w:rsid w:val="00295968"/>
    <w:rsid w:val="00296527"/>
    <w:rsid w:val="002B21CA"/>
    <w:rsid w:val="002B3397"/>
    <w:rsid w:val="002B3F03"/>
    <w:rsid w:val="002B45AA"/>
    <w:rsid w:val="002B4664"/>
    <w:rsid w:val="002C0EC9"/>
    <w:rsid w:val="002C1559"/>
    <w:rsid w:val="002C1D47"/>
    <w:rsid w:val="002C26C2"/>
    <w:rsid w:val="002C6B2C"/>
    <w:rsid w:val="002D1C55"/>
    <w:rsid w:val="002D20E8"/>
    <w:rsid w:val="002D6620"/>
    <w:rsid w:val="002E52B0"/>
    <w:rsid w:val="002E5301"/>
    <w:rsid w:val="002E5E87"/>
    <w:rsid w:val="002E6672"/>
    <w:rsid w:val="002F55B0"/>
    <w:rsid w:val="002F6ED5"/>
    <w:rsid w:val="00300974"/>
    <w:rsid w:val="003021DF"/>
    <w:rsid w:val="00307470"/>
    <w:rsid w:val="00307B3A"/>
    <w:rsid w:val="00314D0B"/>
    <w:rsid w:val="00327119"/>
    <w:rsid w:val="0032737A"/>
    <w:rsid w:val="003306C1"/>
    <w:rsid w:val="00330B7C"/>
    <w:rsid w:val="003331B0"/>
    <w:rsid w:val="00333302"/>
    <w:rsid w:val="00336F21"/>
    <w:rsid w:val="00337110"/>
    <w:rsid w:val="00337DCE"/>
    <w:rsid w:val="003413E5"/>
    <w:rsid w:val="00342B98"/>
    <w:rsid w:val="00345148"/>
    <w:rsid w:val="00345200"/>
    <w:rsid w:val="00347A7D"/>
    <w:rsid w:val="00353BB5"/>
    <w:rsid w:val="003573D8"/>
    <w:rsid w:val="00362DA4"/>
    <w:rsid w:val="00367BEB"/>
    <w:rsid w:val="00370393"/>
    <w:rsid w:val="003708DB"/>
    <w:rsid w:val="003729F1"/>
    <w:rsid w:val="0037313C"/>
    <w:rsid w:val="00373D12"/>
    <w:rsid w:val="003763CD"/>
    <w:rsid w:val="0038116A"/>
    <w:rsid w:val="00381FA0"/>
    <w:rsid w:val="003860A7"/>
    <w:rsid w:val="003865EC"/>
    <w:rsid w:val="00386B0D"/>
    <w:rsid w:val="00387A30"/>
    <w:rsid w:val="00391A8C"/>
    <w:rsid w:val="003944EC"/>
    <w:rsid w:val="00394508"/>
    <w:rsid w:val="00394C1D"/>
    <w:rsid w:val="003A19A1"/>
    <w:rsid w:val="003A3663"/>
    <w:rsid w:val="003A428B"/>
    <w:rsid w:val="003A6502"/>
    <w:rsid w:val="003A6987"/>
    <w:rsid w:val="003B3A3D"/>
    <w:rsid w:val="003B6140"/>
    <w:rsid w:val="003C5C0A"/>
    <w:rsid w:val="003D08AD"/>
    <w:rsid w:val="003D54A1"/>
    <w:rsid w:val="003D618D"/>
    <w:rsid w:val="003D7975"/>
    <w:rsid w:val="003E0CE0"/>
    <w:rsid w:val="003E70CD"/>
    <w:rsid w:val="003E7436"/>
    <w:rsid w:val="003E7F2B"/>
    <w:rsid w:val="003F0EC1"/>
    <w:rsid w:val="003F609B"/>
    <w:rsid w:val="003F7BB2"/>
    <w:rsid w:val="0041108B"/>
    <w:rsid w:val="004157BE"/>
    <w:rsid w:val="00416AED"/>
    <w:rsid w:val="00417860"/>
    <w:rsid w:val="004217F6"/>
    <w:rsid w:val="00424999"/>
    <w:rsid w:val="004262D8"/>
    <w:rsid w:val="004359F6"/>
    <w:rsid w:val="00435F6C"/>
    <w:rsid w:val="00436DB8"/>
    <w:rsid w:val="004448BA"/>
    <w:rsid w:val="00445666"/>
    <w:rsid w:val="00445931"/>
    <w:rsid w:val="004461F3"/>
    <w:rsid w:val="004530DF"/>
    <w:rsid w:val="00453AC8"/>
    <w:rsid w:val="00454230"/>
    <w:rsid w:val="00454BA7"/>
    <w:rsid w:val="004652B3"/>
    <w:rsid w:val="004672E8"/>
    <w:rsid w:val="00471CA7"/>
    <w:rsid w:val="004812D6"/>
    <w:rsid w:val="00487233"/>
    <w:rsid w:val="00490FF2"/>
    <w:rsid w:val="004960B0"/>
    <w:rsid w:val="004A2D67"/>
    <w:rsid w:val="004A327F"/>
    <w:rsid w:val="004A3350"/>
    <w:rsid w:val="004B0EC9"/>
    <w:rsid w:val="004B244B"/>
    <w:rsid w:val="004B250C"/>
    <w:rsid w:val="004C187B"/>
    <w:rsid w:val="004C3BF2"/>
    <w:rsid w:val="004C4042"/>
    <w:rsid w:val="004C5A1B"/>
    <w:rsid w:val="004D0FBC"/>
    <w:rsid w:val="004D2028"/>
    <w:rsid w:val="004D33FA"/>
    <w:rsid w:val="004D4895"/>
    <w:rsid w:val="004D53F4"/>
    <w:rsid w:val="004E1158"/>
    <w:rsid w:val="004E1D36"/>
    <w:rsid w:val="004E4C9A"/>
    <w:rsid w:val="004E4F52"/>
    <w:rsid w:val="004F021D"/>
    <w:rsid w:val="004F6949"/>
    <w:rsid w:val="00516246"/>
    <w:rsid w:val="00517589"/>
    <w:rsid w:val="00522375"/>
    <w:rsid w:val="005226B1"/>
    <w:rsid w:val="00525351"/>
    <w:rsid w:val="00531AB0"/>
    <w:rsid w:val="00533070"/>
    <w:rsid w:val="00533275"/>
    <w:rsid w:val="005338C8"/>
    <w:rsid w:val="00534364"/>
    <w:rsid w:val="005345D9"/>
    <w:rsid w:val="00534901"/>
    <w:rsid w:val="00535799"/>
    <w:rsid w:val="0053746A"/>
    <w:rsid w:val="0054241C"/>
    <w:rsid w:val="005574FC"/>
    <w:rsid w:val="00557CC1"/>
    <w:rsid w:val="005614D0"/>
    <w:rsid w:val="005619CC"/>
    <w:rsid w:val="00565D23"/>
    <w:rsid w:val="005674D6"/>
    <w:rsid w:val="00574BF5"/>
    <w:rsid w:val="005751A7"/>
    <w:rsid w:val="00575FAC"/>
    <w:rsid w:val="00594975"/>
    <w:rsid w:val="005A476C"/>
    <w:rsid w:val="005B3F57"/>
    <w:rsid w:val="005C0CC2"/>
    <w:rsid w:val="005C2D37"/>
    <w:rsid w:val="005D427A"/>
    <w:rsid w:val="005D62FB"/>
    <w:rsid w:val="005E5550"/>
    <w:rsid w:val="005E7295"/>
    <w:rsid w:val="005F033E"/>
    <w:rsid w:val="005F082F"/>
    <w:rsid w:val="005F1111"/>
    <w:rsid w:val="005F40C1"/>
    <w:rsid w:val="005F4636"/>
    <w:rsid w:val="005F4BF1"/>
    <w:rsid w:val="005F6B93"/>
    <w:rsid w:val="00601AE2"/>
    <w:rsid w:val="00604F32"/>
    <w:rsid w:val="006068C2"/>
    <w:rsid w:val="00606FD3"/>
    <w:rsid w:val="00615D8F"/>
    <w:rsid w:val="00622EDC"/>
    <w:rsid w:val="00624898"/>
    <w:rsid w:val="00626FB2"/>
    <w:rsid w:val="00632FAD"/>
    <w:rsid w:val="00633890"/>
    <w:rsid w:val="0063457B"/>
    <w:rsid w:val="00634A78"/>
    <w:rsid w:val="00637ACF"/>
    <w:rsid w:val="006408A7"/>
    <w:rsid w:val="00642DF0"/>
    <w:rsid w:val="0065520E"/>
    <w:rsid w:val="00657B8D"/>
    <w:rsid w:val="006621D6"/>
    <w:rsid w:val="00664156"/>
    <w:rsid w:val="00666A24"/>
    <w:rsid w:val="00672661"/>
    <w:rsid w:val="006739A4"/>
    <w:rsid w:val="0067424C"/>
    <w:rsid w:val="00680F90"/>
    <w:rsid w:val="00681208"/>
    <w:rsid w:val="00681730"/>
    <w:rsid w:val="006869FE"/>
    <w:rsid w:val="00686F71"/>
    <w:rsid w:val="00690C30"/>
    <w:rsid w:val="0069537A"/>
    <w:rsid w:val="006956F7"/>
    <w:rsid w:val="006A7D61"/>
    <w:rsid w:val="006B1B10"/>
    <w:rsid w:val="006B2B24"/>
    <w:rsid w:val="006B4D13"/>
    <w:rsid w:val="006B698E"/>
    <w:rsid w:val="006B75FF"/>
    <w:rsid w:val="006C0534"/>
    <w:rsid w:val="006C062B"/>
    <w:rsid w:val="006C1219"/>
    <w:rsid w:val="006C29D4"/>
    <w:rsid w:val="006C79F9"/>
    <w:rsid w:val="006D1324"/>
    <w:rsid w:val="006D1760"/>
    <w:rsid w:val="006D4D37"/>
    <w:rsid w:val="006D50A0"/>
    <w:rsid w:val="006E0A43"/>
    <w:rsid w:val="006E4374"/>
    <w:rsid w:val="006E79ED"/>
    <w:rsid w:val="006F003C"/>
    <w:rsid w:val="006F0B14"/>
    <w:rsid w:val="006F145D"/>
    <w:rsid w:val="006F531E"/>
    <w:rsid w:val="007001D4"/>
    <w:rsid w:val="007109DC"/>
    <w:rsid w:val="00714A0C"/>
    <w:rsid w:val="0072261D"/>
    <w:rsid w:val="00724279"/>
    <w:rsid w:val="00726674"/>
    <w:rsid w:val="00727090"/>
    <w:rsid w:val="007273C9"/>
    <w:rsid w:val="007378D1"/>
    <w:rsid w:val="007629E6"/>
    <w:rsid w:val="00775F9A"/>
    <w:rsid w:val="00776C08"/>
    <w:rsid w:val="00777FEC"/>
    <w:rsid w:val="00780F4F"/>
    <w:rsid w:val="007840AD"/>
    <w:rsid w:val="007909D0"/>
    <w:rsid w:val="00793833"/>
    <w:rsid w:val="0079412A"/>
    <w:rsid w:val="00794A0D"/>
    <w:rsid w:val="0079756B"/>
    <w:rsid w:val="007A1C60"/>
    <w:rsid w:val="007A342D"/>
    <w:rsid w:val="007A509C"/>
    <w:rsid w:val="007B13F0"/>
    <w:rsid w:val="007B2F98"/>
    <w:rsid w:val="007C2334"/>
    <w:rsid w:val="007C2939"/>
    <w:rsid w:val="007D1B9D"/>
    <w:rsid w:val="007D4192"/>
    <w:rsid w:val="007D76F8"/>
    <w:rsid w:val="007E24DE"/>
    <w:rsid w:val="007E3082"/>
    <w:rsid w:val="007F2E25"/>
    <w:rsid w:val="007F398C"/>
    <w:rsid w:val="0080011C"/>
    <w:rsid w:val="00802286"/>
    <w:rsid w:val="008027D5"/>
    <w:rsid w:val="00803BC7"/>
    <w:rsid w:val="0080660E"/>
    <w:rsid w:val="00810F37"/>
    <w:rsid w:val="00815053"/>
    <w:rsid w:val="008171FD"/>
    <w:rsid w:val="008179B6"/>
    <w:rsid w:val="00825AA4"/>
    <w:rsid w:val="00826865"/>
    <w:rsid w:val="0083040F"/>
    <w:rsid w:val="0083440E"/>
    <w:rsid w:val="00835CA5"/>
    <w:rsid w:val="00836B23"/>
    <w:rsid w:val="00842025"/>
    <w:rsid w:val="008431D2"/>
    <w:rsid w:val="00845F27"/>
    <w:rsid w:val="00850C19"/>
    <w:rsid w:val="0085276B"/>
    <w:rsid w:val="008620C1"/>
    <w:rsid w:val="00866580"/>
    <w:rsid w:val="00866DD7"/>
    <w:rsid w:val="008709D9"/>
    <w:rsid w:val="0087141D"/>
    <w:rsid w:val="00872C4E"/>
    <w:rsid w:val="00873323"/>
    <w:rsid w:val="0087452B"/>
    <w:rsid w:val="00883FF0"/>
    <w:rsid w:val="0088588F"/>
    <w:rsid w:val="008874FE"/>
    <w:rsid w:val="008906A7"/>
    <w:rsid w:val="008960A9"/>
    <w:rsid w:val="008967A6"/>
    <w:rsid w:val="008A3839"/>
    <w:rsid w:val="008B1952"/>
    <w:rsid w:val="008B2A48"/>
    <w:rsid w:val="008B3A49"/>
    <w:rsid w:val="008B7DC5"/>
    <w:rsid w:val="008C018E"/>
    <w:rsid w:val="008C5702"/>
    <w:rsid w:val="008D15E5"/>
    <w:rsid w:val="008D4697"/>
    <w:rsid w:val="008E01C8"/>
    <w:rsid w:val="008E1990"/>
    <w:rsid w:val="008E4B12"/>
    <w:rsid w:val="008F1E26"/>
    <w:rsid w:val="008F65E2"/>
    <w:rsid w:val="008F6C5B"/>
    <w:rsid w:val="00901615"/>
    <w:rsid w:val="009018D9"/>
    <w:rsid w:val="00903F23"/>
    <w:rsid w:val="009064C6"/>
    <w:rsid w:val="009105E9"/>
    <w:rsid w:val="009110D6"/>
    <w:rsid w:val="00911AAA"/>
    <w:rsid w:val="00915123"/>
    <w:rsid w:val="00921DFE"/>
    <w:rsid w:val="00923FAF"/>
    <w:rsid w:val="009334E5"/>
    <w:rsid w:val="00936D73"/>
    <w:rsid w:val="00942D0B"/>
    <w:rsid w:val="00944513"/>
    <w:rsid w:val="00945518"/>
    <w:rsid w:val="009516D0"/>
    <w:rsid w:val="0095674C"/>
    <w:rsid w:val="00960F08"/>
    <w:rsid w:val="00966085"/>
    <w:rsid w:val="00971EBD"/>
    <w:rsid w:val="00975954"/>
    <w:rsid w:val="00976703"/>
    <w:rsid w:val="00977D1D"/>
    <w:rsid w:val="009817FC"/>
    <w:rsid w:val="00982E2C"/>
    <w:rsid w:val="0098510E"/>
    <w:rsid w:val="009938E2"/>
    <w:rsid w:val="009978A1"/>
    <w:rsid w:val="009A4A39"/>
    <w:rsid w:val="009A5152"/>
    <w:rsid w:val="009A5565"/>
    <w:rsid w:val="009C0451"/>
    <w:rsid w:val="009C39CF"/>
    <w:rsid w:val="009C4838"/>
    <w:rsid w:val="009C6705"/>
    <w:rsid w:val="009C6B2C"/>
    <w:rsid w:val="009D5219"/>
    <w:rsid w:val="009E1032"/>
    <w:rsid w:val="009E67B1"/>
    <w:rsid w:val="009F4A6D"/>
    <w:rsid w:val="009F4C5F"/>
    <w:rsid w:val="009F4D14"/>
    <w:rsid w:val="009F5052"/>
    <w:rsid w:val="009F6F0D"/>
    <w:rsid w:val="00A05C5C"/>
    <w:rsid w:val="00A16E4A"/>
    <w:rsid w:val="00A24D84"/>
    <w:rsid w:val="00A26BD5"/>
    <w:rsid w:val="00A30832"/>
    <w:rsid w:val="00A36F0A"/>
    <w:rsid w:val="00A40933"/>
    <w:rsid w:val="00A40B65"/>
    <w:rsid w:val="00A41EA7"/>
    <w:rsid w:val="00A42283"/>
    <w:rsid w:val="00A42CA8"/>
    <w:rsid w:val="00A43760"/>
    <w:rsid w:val="00A4406D"/>
    <w:rsid w:val="00A44B9D"/>
    <w:rsid w:val="00A50BFC"/>
    <w:rsid w:val="00A50F29"/>
    <w:rsid w:val="00A52A6E"/>
    <w:rsid w:val="00A5494A"/>
    <w:rsid w:val="00A622A6"/>
    <w:rsid w:val="00A67502"/>
    <w:rsid w:val="00A73270"/>
    <w:rsid w:val="00A7571A"/>
    <w:rsid w:val="00A770C1"/>
    <w:rsid w:val="00A82D72"/>
    <w:rsid w:val="00A9027B"/>
    <w:rsid w:val="00A90571"/>
    <w:rsid w:val="00A92626"/>
    <w:rsid w:val="00A92B4C"/>
    <w:rsid w:val="00A9535E"/>
    <w:rsid w:val="00A9554C"/>
    <w:rsid w:val="00AA6097"/>
    <w:rsid w:val="00AA7F63"/>
    <w:rsid w:val="00AB1D86"/>
    <w:rsid w:val="00AB2E5B"/>
    <w:rsid w:val="00AC0A30"/>
    <w:rsid w:val="00AC153F"/>
    <w:rsid w:val="00AC5D0E"/>
    <w:rsid w:val="00AC6B31"/>
    <w:rsid w:val="00AC7A68"/>
    <w:rsid w:val="00AD0883"/>
    <w:rsid w:val="00AD1534"/>
    <w:rsid w:val="00AD405C"/>
    <w:rsid w:val="00AD556E"/>
    <w:rsid w:val="00AD65EF"/>
    <w:rsid w:val="00AD6D86"/>
    <w:rsid w:val="00AE74A1"/>
    <w:rsid w:val="00AF4D5F"/>
    <w:rsid w:val="00AF5429"/>
    <w:rsid w:val="00B048BE"/>
    <w:rsid w:val="00B107BA"/>
    <w:rsid w:val="00B12F95"/>
    <w:rsid w:val="00B23790"/>
    <w:rsid w:val="00B3122D"/>
    <w:rsid w:val="00B31FD4"/>
    <w:rsid w:val="00B33F4D"/>
    <w:rsid w:val="00B349D2"/>
    <w:rsid w:val="00B400C1"/>
    <w:rsid w:val="00B422EB"/>
    <w:rsid w:val="00B44678"/>
    <w:rsid w:val="00B626DA"/>
    <w:rsid w:val="00B6793E"/>
    <w:rsid w:val="00B7002B"/>
    <w:rsid w:val="00B74746"/>
    <w:rsid w:val="00B75EC2"/>
    <w:rsid w:val="00B81EF3"/>
    <w:rsid w:val="00B85298"/>
    <w:rsid w:val="00B954FE"/>
    <w:rsid w:val="00B9700F"/>
    <w:rsid w:val="00B97613"/>
    <w:rsid w:val="00BC1974"/>
    <w:rsid w:val="00BC1B8C"/>
    <w:rsid w:val="00BC38C1"/>
    <w:rsid w:val="00BC40A6"/>
    <w:rsid w:val="00BD027D"/>
    <w:rsid w:val="00BD233B"/>
    <w:rsid w:val="00BE00B4"/>
    <w:rsid w:val="00BE0475"/>
    <w:rsid w:val="00BE2DFD"/>
    <w:rsid w:val="00BE6470"/>
    <w:rsid w:val="00BE6AF2"/>
    <w:rsid w:val="00BF656A"/>
    <w:rsid w:val="00BF7916"/>
    <w:rsid w:val="00C0175A"/>
    <w:rsid w:val="00C03568"/>
    <w:rsid w:val="00C0413A"/>
    <w:rsid w:val="00C0525C"/>
    <w:rsid w:val="00C07AD6"/>
    <w:rsid w:val="00C11826"/>
    <w:rsid w:val="00C157F8"/>
    <w:rsid w:val="00C1655B"/>
    <w:rsid w:val="00C31A40"/>
    <w:rsid w:val="00C330BE"/>
    <w:rsid w:val="00C33A55"/>
    <w:rsid w:val="00C37C4D"/>
    <w:rsid w:val="00C415A8"/>
    <w:rsid w:val="00C46296"/>
    <w:rsid w:val="00C52D4E"/>
    <w:rsid w:val="00C53DB6"/>
    <w:rsid w:val="00C54544"/>
    <w:rsid w:val="00C63870"/>
    <w:rsid w:val="00C72609"/>
    <w:rsid w:val="00C765F7"/>
    <w:rsid w:val="00C76743"/>
    <w:rsid w:val="00C77E88"/>
    <w:rsid w:val="00C83F6C"/>
    <w:rsid w:val="00C8776E"/>
    <w:rsid w:val="00C87D14"/>
    <w:rsid w:val="00C90429"/>
    <w:rsid w:val="00C95E94"/>
    <w:rsid w:val="00C9604F"/>
    <w:rsid w:val="00CA04A8"/>
    <w:rsid w:val="00CA0912"/>
    <w:rsid w:val="00CA0FA1"/>
    <w:rsid w:val="00CA2A00"/>
    <w:rsid w:val="00CA3587"/>
    <w:rsid w:val="00CA426D"/>
    <w:rsid w:val="00CB48D6"/>
    <w:rsid w:val="00CB598B"/>
    <w:rsid w:val="00CC448A"/>
    <w:rsid w:val="00CC4537"/>
    <w:rsid w:val="00CD024C"/>
    <w:rsid w:val="00CD0B09"/>
    <w:rsid w:val="00CD6EDB"/>
    <w:rsid w:val="00CD7F24"/>
    <w:rsid w:val="00CE03B1"/>
    <w:rsid w:val="00CE1127"/>
    <w:rsid w:val="00CE1E7C"/>
    <w:rsid w:val="00CE22A1"/>
    <w:rsid w:val="00CE3474"/>
    <w:rsid w:val="00CE39C8"/>
    <w:rsid w:val="00CE72F0"/>
    <w:rsid w:val="00CF04C9"/>
    <w:rsid w:val="00CF2752"/>
    <w:rsid w:val="00D00811"/>
    <w:rsid w:val="00D11225"/>
    <w:rsid w:val="00D11456"/>
    <w:rsid w:val="00D11747"/>
    <w:rsid w:val="00D11DC7"/>
    <w:rsid w:val="00D137F9"/>
    <w:rsid w:val="00D13EC4"/>
    <w:rsid w:val="00D162B4"/>
    <w:rsid w:val="00D21572"/>
    <w:rsid w:val="00D21B44"/>
    <w:rsid w:val="00D226E7"/>
    <w:rsid w:val="00D301AD"/>
    <w:rsid w:val="00D31CF2"/>
    <w:rsid w:val="00D34B98"/>
    <w:rsid w:val="00D37AA2"/>
    <w:rsid w:val="00D42A2E"/>
    <w:rsid w:val="00D44E33"/>
    <w:rsid w:val="00D45F2E"/>
    <w:rsid w:val="00D468F6"/>
    <w:rsid w:val="00D5014C"/>
    <w:rsid w:val="00D52E5A"/>
    <w:rsid w:val="00D56FE9"/>
    <w:rsid w:val="00D62B59"/>
    <w:rsid w:val="00D62DAB"/>
    <w:rsid w:val="00D64734"/>
    <w:rsid w:val="00D64B75"/>
    <w:rsid w:val="00D75ED6"/>
    <w:rsid w:val="00D765EC"/>
    <w:rsid w:val="00D8089A"/>
    <w:rsid w:val="00D81B11"/>
    <w:rsid w:val="00D82379"/>
    <w:rsid w:val="00D82AB7"/>
    <w:rsid w:val="00D82FFD"/>
    <w:rsid w:val="00D84B5E"/>
    <w:rsid w:val="00D84EB8"/>
    <w:rsid w:val="00D92A05"/>
    <w:rsid w:val="00D948BF"/>
    <w:rsid w:val="00D97402"/>
    <w:rsid w:val="00D977FF"/>
    <w:rsid w:val="00DB0594"/>
    <w:rsid w:val="00DB4D3B"/>
    <w:rsid w:val="00DB4F3E"/>
    <w:rsid w:val="00DB7129"/>
    <w:rsid w:val="00DB7C86"/>
    <w:rsid w:val="00DC25E3"/>
    <w:rsid w:val="00DC39B3"/>
    <w:rsid w:val="00DC634F"/>
    <w:rsid w:val="00DD096D"/>
    <w:rsid w:val="00DD52AA"/>
    <w:rsid w:val="00DD6D2F"/>
    <w:rsid w:val="00DE1C49"/>
    <w:rsid w:val="00DE4B4B"/>
    <w:rsid w:val="00DF5565"/>
    <w:rsid w:val="00DF5619"/>
    <w:rsid w:val="00E00C65"/>
    <w:rsid w:val="00E02175"/>
    <w:rsid w:val="00E033B8"/>
    <w:rsid w:val="00E04E9F"/>
    <w:rsid w:val="00E0660E"/>
    <w:rsid w:val="00E069B7"/>
    <w:rsid w:val="00E11B54"/>
    <w:rsid w:val="00E12265"/>
    <w:rsid w:val="00E15F86"/>
    <w:rsid w:val="00E20CD8"/>
    <w:rsid w:val="00E21F0A"/>
    <w:rsid w:val="00E25F58"/>
    <w:rsid w:val="00E26E6D"/>
    <w:rsid w:val="00E328BA"/>
    <w:rsid w:val="00E348B1"/>
    <w:rsid w:val="00E368FD"/>
    <w:rsid w:val="00E37872"/>
    <w:rsid w:val="00E40C14"/>
    <w:rsid w:val="00E44B2C"/>
    <w:rsid w:val="00E453FA"/>
    <w:rsid w:val="00E46325"/>
    <w:rsid w:val="00E4763F"/>
    <w:rsid w:val="00E518AB"/>
    <w:rsid w:val="00E5263D"/>
    <w:rsid w:val="00E53B6A"/>
    <w:rsid w:val="00E60751"/>
    <w:rsid w:val="00E66DBA"/>
    <w:rsid w:val="00E74EB6"/>
    <w:rsid w:val="00E87E47"/>
    <w:rsid w:val="00E900A9"/>
    <w:rsid w:val="00E91D42"/>
    <w:rsid w:val="00E91D85"/>
    <w:rsid w:val="00E959DE"/>
    <w:rsid w:val="00EA4718"/>
    <w:rsid w:val="00EA7D37"/>
    <w:rsid w:val="00EB1656"/>
    <w:rsid w:val="00EB516F"/>
    <w:rsid w:val="00EB5D51"/>
    <w:rsid w:val="00EB7558"/>
    <w:rsid w:val="00EC0AEB"/>
    <w:rsid w:val="00ED3B2E"/>
    <w:rsid w:val="00EE0F84"/>
    <w:rsid w:val="00EE7F37"/>
    <w:rsid w:val="00EF07FC"/>
    <w:rsid w:val="00EF0C54"/>
    <w:rsid w:val="00F017F9"/>
    <w:rsid w:val="00F032C2"/>
    <w:rsid w:val="00F041AB"/>
    <w:rsid w:val="00F04A3F"/>
    <w:rsid w:val="00F074B3"/>
    <w:rsid w:val="00F10C2A"/>
    <w:rsid w:val="00F13DF3"/>
    <w:rsid w:val="00F144CC"/>
    <w:rsid w:val="00F17668"/>
    <w:rsid w:val="00F1781A"/>
    <w:rsid w:val="00F23835"/>
    <w:rsid w:val="00F30F29"/>
    <w:rsid w:val="00F31E2D"/>
    <w:rsid w:val="00F33399"/>
    <w:rsid w:val="00F45989"/>
    <w:rsid w:val="00F50796"/>
    <w:rsid w:val="00F52EC5"/>
    <w:rsid w:val="00F53102"/>
    <w:rsid w:val="00F56614"/>
    <w:rsid w:val="00F600D9"/>
    <w:rsid w:val="00F60B92"/>
    <w:rsid w:val="00F6135B"/>
    <w:rsid w:val="00F653EB"/>
    <w:rsid w:val="00F66A0E"/>
    <w:rsid w:val="00F72C6E"/>
    <w:rsid w:val="00F759F3"/>
    <w:rsid w:val="00F76C00"/>
    <w:rsid w:val="00F76C6C"/>
    <w:rsid w:val="00F77671"/>
    <w:rsid w:val="00F77812"/>
    <w:rsid w:val="00F839FB"/>
    <w:rsid w:val="00F84C52"/>
    <w:rsid w:val="00F85F0B"/>
    <w:rsid w:val="00F907FC"/>
    <w:rsid w:val="00FA1EBC"/>
    <w:rsid w:val="00FA31DE"/>
    <w:rsid w:val="00FA7EE5"/>
    <w:rsid w:val="00FB3377"/>
    <w:rsid w:val="00FB4B1C"/>
    <w:rsid w:val="00FB797D"/>
    <w:rsid w:val="00FC44C4"/>
    <w:rsid w:val="00FD0D72"/>
    <w:rsid w:val="00FD17A1"/>
    <w:rsid w:val="00FD30C3"/>
    <w:rsid w:val="00FD6638"/>
    <w:rsid w:val="00FE2534"/>
    <w:rsid w:val="00FE4DED"/>
    <w:rsid w:val="00FF29CE"/>
    <w:rsid w:val="00FF3DCE"/>
    <w:rsid w:val="00FF47B3"/>
    <w:rsid w:val="00FF608B"/>
    <w:rsid w:val="00FF61F7"/>
    <w:rsid w:val="01064A5F"/>
    <w:rsid w:val="0126178B"/>
    <w:rsid w:val="013173C9"/>
    <w:rsid w:val="01B31FD7"/>
    <w:rsid w:val="029824C6"/>
    <w:rsid w:val="02C930EC"/>
    <w:rsid w:val="030E158B"/>
    <w:rsid w:val="032A1D11"/>
    <w:rsid w:val="039B1AD7"/>
    <w:rsid w:val="03A558B8"/>
    <w:rsid w:val="03D1624F"/>
    <w:rsid w:val="041750D8"/>
    <w:rsid w:val="04992039"/>
    <w:rsid w:val="04A709A0"/>
    <w:rsid w:val="06027919"/>
    <w:rsid w:val="06156DD0"/>
    <w:rsid w:val="06D67152"/>
    <w:rsid w:val="06E15CA2"/>
    <w:rsid w:val="07EE3830"/>
    <w:rsid w:val="07F539DC"/>
    <w:rsid w:val="081746C5"/>
    <w:rsid w:val="08972ED7"/>
    <w:rsid w:val="094058D3"/>
    <w:rsid w:val="094207DD"/>
    <w:rsid w:val="09654E76"/>
    <w:rsid w:val="09F00056"/>
    <w:rsid w:val="0A8F4D11"/>
    <w:rsid w:val="0A975C1A"/>
    <w:rsid w:val="0AB607D0"/>
    <w:rsid w:val="0B817096"/>
    <w:rsid w:val="0B9339DA"/>
    <w:rsid w:val="0BB27662"/>
    <w:rsid w:val="0C3B7DF3"/>
    <w:rsid w:val="0C973698"/>
    <w:rsid w:val="0CA147A4"/>
    <w:rsid w:val="0D2B29B4"/>
    <w:rsid w:val="0DAB716D"/>
    <w:rsid w:val="0DB22729"/>
    <w:rsid w:val="0DE22866"/>
    <w:rsid w:val="0E002D4E"/>
    <w:rsid w:val="0E0E3F7D"/>
    <w:rsid w:val="0E456EDD"/>
    <w:rsid w:val="0E5C1145"/>
    <w:rsid w:val="0EAA2887"/>
    <w:rsid w:val="0ED81717"/>
    <w:rsid w:val="0F387FE9"/>
    <w:rsid w:val="0FA26E84"/>
    <w:rsid w:val="0FAC0C9F"/>
    <w:rsid w:val="0FAE169B"/>
    <w:rsid w:val="10D5449B"/>
    <w:rsid w:val="11174F17"/>
    <w:rsid w:val="11190E0B"/>
    <w:rsid w:val="114B6A81"/>
    <w:rsid w:val="114F612C"/>
    <w:rsid w:val="11E445A2"/>
    <w:rsid w:val="129212C1"/>
    <w:rsid w:val="13AA632D"/>
    <w:rsid w:val="149C3646"/>
    <w:rsid w:val="14A427A7"/>
    <w:rsid w:val="14CB1B1F"/>
    <w:rsid w:val="14F93800"/>
    <w:rsid w:val="150578DE"/>
    <w:rsid w:val="156F3247"/>
    <w:rsid w:val="15775F15"/>
    <w:rsid w:val="15894BF8"/>
    <w:rsid w:val="159825CA"/>
    <w:rsid w:val="159A460B"/>
    <w:rsid w:val="15D034B0"/>
    <w:rsid w:val="162B00EE"/>
    <w:rsid w:val="16AF1CBD"/>
    <w:rsid w:val="16CB3032"/>
    <w:rsid w:val="177D7B4C"/>
    <w:rsid w:val="17FB7E36"/>
    <w:rsid w:val="18240838"/>
    <w:rsid w:val="18880EDF"/>
    <w:rsid w:val="18886867"/>
    <w:rsid w:val="18BD369F"/>
    <w:rsid w:val="192922D9"/>
    <w:rsid w:val="19DC7C34"/>
    <w:rsid w:val="1A3257AE"/>
    <w:rsid w:val="1A6727E2"/>
    <w:rsid w:val="1A7A1FBC"/>
    <w:rsid w:val="1B320552"/>
    <w:rsid w:val="1B622675"/>
    <w:rsid w:val="1B70612A"/>
    <w:rsid w:val="1B8B39C2"/>
    <w:rsid w:val="1B984113"/>
    <w:rsid w:val="1BCE5727"/>
    <w:rsid w:val="1BD43FE2"/>
    <w:rsid w:val="1BEA3184"/>
    <w:rsid w:val="1C00693A"/>
    <w:rsid w:val="1C25300A"/>
    <w:rsid w:val="1C2C037E"/>
    <w:rsid w:val="1C4C70A4"/>
    <w:rsid w:val="1CDA7656"/>
    <w:rsid w:val="1CDB703B"/>
    <w:rsid w:val="1D221A71"/>
    <w:rsid w:val="1D2D00C0"/>
    <w:rsid w:val="1D7A676B"/>
    <w:rsid w:val="1DB00E2F"/>
    <w:rsid w:val="1DCE7E05"/>
    <w:rsid w:val="1E0116D8"/>
    <w:rsid w:val="1E741622"/>
    <w:rsid w:val="1EEE2853"/>
    <w:rsid w:val="1F801BBA"/>
    <w:rsid w:val="1F8F2BF9"/>
    <w:rsid w:val="1FA070BD"/>
    <w:rsid w:val="1FD7499F"/>
    <w:rsid w:val="1FFF9AE1"/>
    <w:rsid w:val="20C66687"/>
    <w:rsid w:val="20DE1697"/>
    <w:rsid w:val="21FE4BBC"/>
    <w:rsid w:val="22113990"/>
    <w:rsid w:val="228566A8"/>
    <w:rsid w:val="22B45296"/>
    <w:rsid w:val="22F6517E"/>
    <w:rsid w:val="23103605"/>
    <w:rsid w:val="237556B1"/>
    <w:rsid w:val="23A25265"/>
    <w:rsid w:val="243E61D2"/>
    <w:rsid w:val="24646E21"/>
    <w:rsid w:val="24CD5AAC"/>
    <w:rsid w:val="24D85ABA"/>
    <w:rsid w:val="24FD3F77"/>
    <w:rsid w:val="253541E3"/>
    <w:rsid w:val="25757CE1"/>
    <w:rsid w:val="25C958FE"/>
    <w:rsid w:val="25FD751A"/>
    <w:rsid w:val="26136CE7"/>
    <w:rsid w:val="269405F3"/>
    <w:rsid w:val="273B3DFA"/>
    <w:rsid w:val="27CE26D2"/>
    <w:rsid w:val="282A538A"/>
    <w:rsid w:val="283654AD"/>
    <w:rsid w:val="285647C3"/>
    <w:rsid w:val="285E27AC"/>
    <w:rsid w:val="288F28E9"/>
    <w:rsid w:val="289827B1"/>
    <w:rsid w:val="28AC2167"/>
    <w:rsid w:val="28E5120F"/>
    <w:rsid w:val="29A26467"/>
    <w:rsid w:val="29B32F59"/>
    <w:rsid w:val="29D1269E"/>
    <w:rsid w:val="2A5874DF"/>
    <w:rsid w:val="2A8E2426"/>
    <w:rsid w:val="2A9A298C"/>
    <w:rsid w:val="2A9C19AD"/>
    <w:rsid w:val="2B755330"/>
    <w:rsid w:val="2B876513"/>
    <w:rsid w:val="2BA23A17"/>
    <w:rsid w:val="2BE219E1"/>
    <w:rsid w:val="2BF52506"/>
    <w:rsid w:val="2C3F5BB1"/>
    <w:rsid w:val="2CC85BC3"/>
    <w:rsid w:val="2CF047F6"/>
    <w:rsid w:val="2D510A86"/>
    <w:rsid w:val="2D6218E3"/>
    <w:rsid w:val="2D6D0CB3"/>
    <w:rsid w:val="2D7703EC"/>
    <w:rsid w:val="2E2F7796"/>
    <w:rsid w:val="2EA5013F"/>
    <w:rsid w:val="2EB3367B"/>
    <w:rsid w:val="301D0D50"/>
    <w:rsid w:val="302A1874"/>
    <w:rsid w:val="303C7853"/>
    <w:rsid w:val="30E17AB7"/>
    <w:rsid w:val="31024C73"/>
    <w:rsid w:val="311D2864"/>
    <w:rsid w:val="31746D0A"/>
    <w:rsid w:val="32CB47D2"/>
    <w:rsid w:val="33522D73"/>
    <w:rsid w:val="33822DE3"/>
    <w:rsid w:val="34566F27"/>
    <w:rsid w:val="34640D04"/>
    <w:rsid w:val="348D019F"/>
    <w:rsid w:val="34AE6A32"/>
    <w:rsid w:val="35395FDB"/>
    <w:rsid w:val="35400810"/>
    <w:rsid w:val="35832E0D"/>
    <w:rsid w:val="35880495"/>
    <w:rsid w:val="36185C61"/>
    <w:rsid w:val="365D21F2"/>
    <w:rsid w:val="36E56F68"/>
    <w:rsid w:val="371D53C7"/>
    <w:rsid w:val="371E6FE0"/>
    <w:rsid w:val="37790D73"/>
    <w:rsid w:val="378608F7"/>
    <w:rsid w:val="378B3A1D"/>
    <w:rsid w:val="382941D1"/>
    <w:rsid w:val="382C411B"/>
    <w:rsid w:val="38623892"/>
    <w:rsid w:val="395B6345"/>
    <w:rsid w:val="396C0DE6"/>
    <w:rsid w:val="39A22805"/>
    <w:rsid w:val="39BA3C43"/>
    <w:rsid w:val="3A122BC8"/>
    <w:rsid w:val="3A411A55"/>
    <w:rsid w:val="3A4C0304"/>
    <w:rsid w:val="3AA16676"/>
    <w:rsid w:val="3AD070C6"/>
    <w:rsid w:val="3AFF2F2B"/>
    <w:rsid w:val="3BEA6BD4"/>
    <w:rsid w:val="3C3E5A5A"/>
    <w:rsid w:val="3C8023EB"/>
    <w:rsid w:val="3CB53DB7"/>
    <w:rsid w:val="3CC131AE"/>
    <w:rsid w:val="3D3B4A27"/>
    <w:rsid w:val="3D586A3E"/>
    <w:rsid w:val="3D722368"/>
    <w:rsid w:val="3D8531ED"/>
    <w:rsid w:val="3D8B22BD"/>
    <w:rsid w:val="3DA56BC8"/>
    <w:rsid w:val="3DAD5323"/>
    <w:rsid w:val="3DCA0BA5"/>
    <w:rsid w:val="3E134D10"/>
    <w:rsid w:val="3E2015B8"/>
    <w:rsid w:val="3EB841C7"/>
    <w:rsid w:val="3EBD176B"/>
    <w:rsid w:val="3ED36929"/>
    <w:rsid w:val="3EFC2826"/>
    <w:rsid w:val="3FE57F8A"/>
    <w:rsid w:val="403C4FC9"/>
    <w:rsid w:val="40883F52"/>
    <w:rsid w:val="40A838AD"/>
    <w:rsid w:val="40B018B8"/>
    <w:rsid w:val="40F634A0"/>
    <w:rsid w:val="41104467"/>
    <w:rsid w:val="41413B14"/>
    <w:rsid w:val="4144164D"/>
    <w:rsid w:val="41B919A1"/>
    <w:rsid w:val="41FC12C5"/>
    <w:rsid w:val="420F6F7D"/>
    <w:rsid w:val="42617F5D"/>
    <w:rsid w:val="42E8507C"/>
    <w:rsid w:val="431509E1"/>
    <w:rsid w:val="43740108"/>
    <w:rsid w:val="43873511"/>
    <w:rsid w:val="43E74105"/>
    <w:rsid w:val="43F920EF"/>
    <w:rsid w:val="44056756"/>
    <w:rsid w:val="44464242"/>
    <w:rsid w:val="44503AC9"/>
    <w:rsid w:val="44B67E31"/>
    <w:rsid w:val="44C0574D"/>
    <w:rsid w:val="44DD3154"/>
    <w:rsid w:val="46017C06"/>
    <w:rsid w:val="46355D95"/>
    <w:rsid w:val="46570A83"/>
    <w:rsid w:val="477E5465"/>
    <w:rsid w:val="47C34528"/>
    <w:rsid w:val="47CF0F4D"/>
    <w:rsid w:val="480D2F09"/>
    <w:rsid w:val="483C0E51"/>
    <w:rsid w:val="48654EDA"/>
    <w:rsid w:val="48BB1F79"/>
    <w:rsid w:val="48E621A3"/>
    <w:rsid w:val="48E87EBF"/>
    <w:rsid w:val="492C0BD4"/>
    <w:rsid w:val="49627B61"/>
    <w:rsid w:val="49682FD8"/>
    <w:rsid w:val="49A265B0"/>
    <w:rsid w:val="49D40695"/>
    <w:rsid w:val="49EE02A6"/>
    <w:rsid w:val="4AC220DB"/>
    <w:rsid w:val="4AFD32A2"/>
    <w:rsid w:val="4BD5286C"/>
    <w:rsid w:val="4C0816CB"/>
    <w:rsid w:val="4C19020C"/>
    <w:rsid w:val="4C926149"/>
    <w:rsid w:val="4CB55A92"/>
    <w:rsid w:val="4DCF4BE0"/>
    <w:rsid w:val="4EFB714B"/>
    <w:rsid w:val="4F012431"/>
    <w:rsid w:val="4F3834DE"/>
    <w:rsid w:val="4F45765F"/>
    <w:rsid w:val="50414ED5"/>
    <w:rsid w:val="5065765A"/>
    <w:rsid w:val="5097107C"/>
    <w:rsid w:val="50A73548"/>
    <w:rsid w:val="50AF0821"/>
    <w:rsid w:val="517045AA"/>
    <w:rsid w:val="51957BE3"/>
    <w:rsid w:val="52015065"/>
    <w:rsid w:val="52855167"/>
    <w:rsid w:val="52C3344E"/>
    <w:rsid w:val="52CE1BD4"/>
    <w:rsid w:val="52FD01B0"/>
    <w:rsid w:val="53226B65"/>
    <w:rsid w:val="532B483C"/>
    <w:rsid w:val="53306A49"/>
    <w:rsid w:val="53B2193D"/>
    <w:rsid w:val="53C8390E"/>
    <w:rsid w:val="53E9549A"/>
    <w:rsid w:val="541D780D"/>
    <w:rsid w:val="54852FD2"/>
    <w:rsid w:val="55132709"/>
    <w:rsid w:val="55417F95"/>
    <w:rsid w:val="55844D7C"/>
    <w:rsid w:val="55917CE3"/>
    <w:rsid w:val="55CC5772"/>
    <w:rsid w:val="55EDBFDB"/>
    <w:rsid w:val="55F50D42"/>
    <w:rsid w:val="56090020"/>
    <w:rsid w:val="56841F90"/>
    <w:rsid w:val="56AA51E5"/>
    <w:rsid w:val="58BF233B"/>
    <w:rsid w:val="58CA1618"/>
    <w:rsid w:val="58DA1CCB"/>
    <w:rsid w:val="591B49E9"/>
    <w:rsid w:val="59253B14"/>
    <w:rsid w:val="593117CC"/>
    <w:rsid w:val="593972E0"/>
    <w:rsid w:val="59C72150"/>
    <w:rsid w:val="5A3F2B72"/>
    <w:rsid w:val="5A5A2C64"/>
    <w:rsid w:val="5A5A5E81"/>
    <w:rsid w:val="5B0A71A5"/>
    <w:rsid w:val="5B722ECE"/>
    <w:rsid w:val="5B94046A"/>
    <w:rsid w:val="5BB63506"/>
    <w:rsid w:val="5BDC3271"/>
    <w:rsid w:val="5BF20A78"/>
    <w:rsid w:val="5C5A1B8B"/>
    <w:rsid w:val="5C671A5E"/>
    <w:rsid w:val="5C7213D4"/>
    <w:rsid w:val="5CC236A8"/>
    <w:rsid w:val="5CC76255"/>
    <w:rsid w:val="5CD575AC"/>
    <w:rsid w:val="5CF51701"/>
    <w:rsid w:val="5DCE5D4F"/>
    <w:rsid w:val="5DD27131"/>
    <w:rsid w:val="5DFE46D7"/>
    <w:rsid w:val="5E1B555F"/>
    <w:rsid w:val="5E1E6BB9"/>
    <w:rsid w:val="5E297A1A"/>
    <w:rsid w:val="5E3A11DA"/>
    <w:rsid w:val="5E5A5FD4"/>
    <w:rsid w:val="5E870925"/>
    <w:rsid w:val="5EAB46DD"/>
    <w:rsid w:val="5EB55B71"/>
    <w:rsid w:val="5F1F12B9"/>
    <w:rsid w:val="5F300B02"/>
    <w:rsid w:val="5F5FC522"/>
    <w:rsid w:val="5FCD1828"/>
    <w:rsid w:val="5FE56444"/>
    <w:rsid w:val="60150A53"/>
    <w:rsid w:val="617B4DBE"/>
    <w:rsid w:val="61F430D0"/>
    <w:rsid w:val="62092F2E"/>
    <w:rsid w:val="6240648D"/>
    <w:rsid w:val="629313D8"/>
    <w:rsid w:val="62A25907"/>
    <w:rsid w:val="62B71EBE"/>
    <w:rsid w:val="635F29B0"/>
    <w:rsid w:val="63AF3EB6"/>
    <w:rsid w:val="63F72B99"/>
    <w:rsid w:val="64347167"/>
    <w:rsid w:val="645324E1"/>
    <w:rsid w:val="6459159E"/>
    <w:rsid w:val="65150CE0"/>
    <w:rsid w:val="654168B6"/>
    <w:rsid w:val="65AF677A"/>
    <w:rsid w:val="6688122A"/>
    <w:rsid w:val="66910943"/>
    <w:rsid w:val="66AC68D6"/>
    <w:rsid w:val="66F0797A"/>
    <w:rsid w:val="67437B6A"/>
    <w:rsid w:val="678970BC"/>
    <w:rsid w:val="67CF3654"/>
    <w:rsid w:val="6863353D"/>
    <w:rsid w:val="68DE4808"/>
    <w:rsid w:val="68E852B0"/>
    <w:rsid w:val="69385250"/>
    <w:rsid w:val="69E02260"/>
    <w:rsid w:val="69E61063"/>
    <w:rsid w:val="6A07536C"/>
    <w:rsid w:val="6AC509C5"/>
    <w:rsid w:val="6B141FDC"/>
    <w:rsid w:val="6B2A0BF6"/>
    <w:rsid w:val="6B5C2B89"/>
    <w:rsid w:val="6B704BCE"/>
    <w:rsid w:val="6B806A8D"/>
    <w:rsid w:val="6B8B4753"/>
    <w:rsid w:val="6BE25870"/>
    <w:rsid w:val="6BF34644"/>
    <w:rsid w:val="6BFC0FB6"/>
    <w:rsid w:val="6CEE1B92"/>
    <w:rsid w:val="6D2D34C0"/>
    <w:rsid w:val="6D2E5571"/>
    <w:rsid w:val="6D3314DA"/>
    <w:rsid w:val="6D5F3545"/>
    <w:rsid w:val="6D7A502F"/>
    <w:rsid w:val="6DC06ABC"/>
    <w:rsid w:val="6E677624"/>
    <w:rsid w:val="6F1E4E0F"/>
    <w:rsid w:val="6F826A2B"/>
    <w:rsid w:val="6FB84675"/>
    <w:rsid w:val="6FB941B7"/>
    <w:rsid w:val="6FCC0B91"/>
    <w:rsid w:val="70374B16"/>
    <w:rsid w:val="707B0337"/>
    <w:rsid w:val="70AB7EDB"/>
    <w:rsid w:val="70DC4A1B"/>
    <w:rsid w:val="70E461D1"/>
    <w:rsid w:val="719A2902"/>
    <w:rsid w:val="71AE4476"/>
    <w:rsid w:val="72361AAA"/>
    <w:rsid w:val="72D75477"/>
    <w:rsid w:val="7331645A"/>
    <w:rsid w:val="73A40219"/>
    <w:rsid w:val="73CC5518"/>
    <w:rsid w:val="73D829A8"/>
    <w:rsid w:val="7472183A"/>
    <w:rsid w:val="74A0184A"/>
    <w:rsid w:val="752012D5"/>
    <w:rsid w:val="75416282"/>
    <w:rsid w:val="75490D73"/>
    <w:rsid w:val="75674082"/>
    <w:rsid w:val="75780CB1"/>
    <w:rsid w:val="763F450F"/>
    <w:rsid w:val="767967C3"/>
    <w:rsid w:val="77400A5D"/>
    <w:rsid w:val="774F0AD8"/>
    <w:rsid w:val="77535AB6"/>
    <w:rsid w:val="77767E5F"/>
    <w:rsid w:val="778B7CD6"/>
    <w:rsid w:val="78054D62"/>
    <w:rsid w:val="79B207D4"/>
    <w:rsid w:val="79C077E2"/>
    <w:rsid w:val="79C979E5"/>
    <w:rsid w:val="79CF6D08"/>
    <w:rsid w:val="79E3471B"/>
    <w:rsid w:val="7A70320F"/>
    <w:rsid w:val="7BC93F5A"/>
    <w:rsid w:val="7C432D57"/>
    <w:rsid w:val="7C7D4624"/>
    <w:rsid w:val="7CB3794A"/>
    <w:rsid w:val="7CF52E98"/>
    <w:rsid w:val="7D0744BC"/>
    <w:rsid w:val="7D5144C4"/>
    <w:rsid w:val="7D69376E"/>
    <w:rsid w:val="7D8A1223"/>
    <w:rsid w:val="7E3752F5"/>
    <w:rsid w:val="7E4E19FD"/>
    <w:rsid w:val="7E6E0914"/>
    <w:rsid w:val="7E83117E"/>
    <w:rsid w:val="7E9702F2"/>
    <w:rsid w:val="7EC63571"/>
    <w:rsid w:val="7F482797"/>
    <w:rsid w:val="7F820DA3"/>
    <w:rsid w:val="7FF76364"/>
    <w:rsid w:val="7FFF7B54"/>
    <w:rsid w:val="93F76E48"/>
    <w:rsid w:val="AFF7AF10"/>
    <w:rsid w:val="D6FF4742"/>
    <w:rsid w:val="EF37B3EF"/>
    <w:rsid w:val="F1F92FF9"/>
    <w:rsid w:val="F9FF8DB2"/>
    <w:rsid w:val="FFF1660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next w:val="1"/>
    <w:link w:val="30"/>
    <w:qFormat/>
    <w:uiPriority w:val="9"/>
    <w:pPr>
      <w:keepNext/>
      <w:keepLines/>
      <w:spacing w:before="480" w:after="80"/>
      <w:outlineLvl w:val="0"/>
    </w:pPr>
    <w:rPr>
      <w:rFonts w:ascii="Times New Roman" w:hAnsi="Times New Roman" w:eastAsia="黑体" w:cstheme="majorBidi"/>
      <w:color w:val="000000" w:themeColor="text1"/>
      <w:kern w:val="2"/>
      <w:sz w:val="32"/>
      <w:szCs w:val="48"/>
      <w:lang w:val="en-US" w:eastAsia="zh-CN" w:bidi="ar-SA"/>
    </w:rPr>
  </w:style>
  <w:style w:type="paragraph" w:styleId="3">
    <w:name w:val="heading 2"/>
    <w:next w:val="1"/>
    <w:link w:val="31"/>
    <w:unhideWhenUsed/>
    <w:qFormat/>
    <w:uiPriority w:val="9"/>
    <w:pPr>
      <w:keepNext/>
      <w:keepLines/>
      <w:spacing w:before="160" w:after="80"/>
      <w:outlineLvl w:val="1"/>
    </w:pPr>
    <w:rPr>
      <w:rFonts w:ascii="Times New Roman" w:hAnsi="Times New Roman" w:eastAsia="楷体_GB2312" w:cstheme="majorBidi"/>
      <w:b/>
      <w:color w:val="000000" w:themeColor="text1"/>
      <w:kern w:val="2"/>
      <w:sz w:val="32"/>
      <w:szCs w:val="40"/>
      <w:lang w:val="en-US" w:eastAsia="zh-CN" w:bidi="ar-SA"/>
    </w:rPr>
  </w:style>
  <w:style w:type="paragraph" w:styleId="4">
    <w:name w:val="heading 3"/>
    <w:basedOn w:val="1"/>
    <w:next w:val="1"/>
    <w:link w:val="32"/>
    <w:unhideWhenUsed/>
    <w:qFormat/>
    <w:uiPriority w:val="9"/>
    <w:pPr>
      <w:keepNext/>
      <w:keepLines/>
      <w:spacing w:before="160" w:after="80"/>
      <w:outlineLvl w:val="2"/>
    </w:pPr>
    <w:rPr>
      <w:rFonts w:asciiTheme="majorHAnsi" w:hAnsiTheme="majorHAnsi" w:eastAsiaTheme="majorEastAsia" w:cstheme="majorBidi"/>
      <w:color w:val="2F5496" w:themeColor="accent1" w:themeShade="BF"/>
      <w:szCs w:val="32"/>
    </w:rPr>
  </w:style>
  <w:style w:type="paragraph" w:styleId="5">
    <w:name w:val="heading 4"/>
    <w:basedOn w:val="1"/>
    <w:next w:val="1"/>
    <w:link w:val="33"/>
    <w:semiHidden/>
    <w:unhideWhenUsed/>
    <w:qFormat/>
    <w:uiPriority w:val="9"/>
    <w:pPr>
      <w:keepNext/>
      <w:keepLines/>
      <w:spacing w:before="80" w:after="40"/>
      <w:outlineLvl w:val="3"/>
    </w:pPr>
    <w:rPr>
      <w:rFonts w:cstheme="majorBidi"/>
      <w:color w:val="2F5496" w:themeColor="accent1" w:themeShade="BF"/>
      <w:sz w:val="28"/>
      <w:szCs w:val="28"/>
    </w:rPr>
  </w:style>
  <w:style w:type="paragraph" w:styleId="6">
    <w:name w:val="heading 5"/>
    <w:basedOn w:val="1"/>
    <w:next w:val="1"/>
    <w:link w:val="34"/>
    <w:semiHidden/>
    <w:unhideWhenUsed/>
    <w:qFormat/>
    <w:uiPriority w:val="9"/>
    <w:pPr>
      <w:keepNext/>
      <w:keepLines/>
      <w:spacing w:before="80" w:after="40"/>
      <w:outlineLvl w:val="4"/>
    </w:pPr>
    <w:rPr>
      <w:rFonts w:cstheme="majorBidi"/>
      <w:color w:val="2F5496" w:themeColor="accent1" w:themeShade="BF"/>
      <w:sz w:val="24"/>
      <w:szCs w:val="24"/>
    </w:rPr>
  </w:style>
  <w:style w:type="paragraph" w:styleId="7">
    <w:name w:val="heading 6"/>
    <w:basedOn w:val="1"/>
    <w:next w:val="1"/>
    <w:link w:val="35"/>
    <w:semiHidden/>
    <w:unhideWhenUsed/>
    <w:qFormat/>
    <w:uiPriority w:val="9"/>
    <w:pPr>
      <w:keepNext/>
      <w:keepLines/>
      <w:spacing w:before="40"/>
      <w:outlineLvl w:val="5"/>
    </w:pPr>
    <w:rPr>
      <w:rFonts w:cstheme="majorBidi"/>
      <w:b/>
      <w:bCs/>
      <w:color w:val="2F5496" w:themeColor="accent1" w:themeShade="BF"/>
    </w:rPr>
  </w:style>
  <w:style w:type="paragraph" w:styleId="8">
    <w:name w:val="heading 7"/>
    <w:basedOn w:val="1"/>
    <w:next w:val="1"/>
    <w:link w:val="36"/>
    <w:semiHidden/>
    <w:unhideWhenUsed/>
    <w:qFormat/>
    <w:uiPriority w:val="9"/>
    <w:pPr>
      <w:keepNext/>
      <w:keepLines/>
      <w:spacing w:before="40"/>
      <w:outlineLvl w:val="6"/>
    </w:pPr>
    <w:rPr>
      <w:rFonts w:cstheme="majorBidi"/>
      <w:b/>
      <w:bCs/>
      <w:color w:val="585858" w:themeColor="text1" w:themeTint="A6"/>
    </w:rPr>
  </w:style>
  <w:style w:type="paragraph" w:styleId="9">
    <w:name w:val="heading 8"/>
    <w:basedOn w:val="1"/>
    <w:next w:val="1"/>
    <w:link w:val="37"/>
    <w:semiHidden/>
    <w:unhideWhenUsed/>
    <w:qFormat/>
    <w:uiPriority w:val="9"/>
    <w:pPr>
      <w:keepNext/>
      <w:keepLines/>
      <w:outlineLvl w:val="7"/>
    </w:pPr>
    <w:rPr>
      <w:rFonts w:cstheme="majorBidi"/>
      <w:color w:val="585858" w:themeColor="text1" w:themeTint="A6"/>
    </w:rPr>
  </w:style>
  <w:style w:type="paragraph" w:styleId="10">
    <w:name w:val="heading 9"/>
    <w:basedOn w:val="1"/>
    <w:next w:val="1"/>
    <w:link w:val="38"/>
    <w:semiHidden/>
    <w:unhideWhenUsed/>
    <w:qFormat/>
    <w:uiPriority w:val="9"/>
    <w:pPr>
      <w:keepNext/>
      <w:keepLines/>
      <w:outlineLvl w:val="8"/>
    </w:pPr>
    <w:rPr>
      <w:rFonts w:eastAsiaTheme="majorEastAsia" w:cstheme="majorBidi"/>
      <w:color w:val="585858" w:themeColor="text1" w:themeTint="A6"/>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76"/>
    <w:semiHidden/>
    <w:unhideWhenUsed/>
    <w:qFormat/>
    <w:uiPriority w:val="99"/>
    <w:rPr>
      <w:rFonts w:ascii="宋体" w:eastAsia="宋体"/>
      <w:sz w:val="18"/>
      <w:szCs w:val="18"/>
    </w:rPr>
  </w:style>
  <w:style w:type="paragraph" w:styleId="12">
    <w:name w:val="annotation text"/>
    <w:basedOn w:val="1"/>
    <w:link w:val="69"/>
    <w:unhideWhenUsed/>
    <w:qFormat/>
    <w:uiPriority w:val="99"/>
    <w:pPr>
      <w:jc w:val="left"/>
    </w:pPr>
  </w:style>
  <w:style w:type="paragraph" w:styleId="13">
    <w:name w:val="Body Text Indent"/>
    <w:basedOn w:val="1"/>
    <w:link w:val="59"/>
    <w:semiHidden/>
    <w:unhideWhenUsed/>
    <w:qFormat/>
    <w:uiPriority w:val="99"/>
    <w:pPr>
      <w:spacing w:after="120"/>
      <w:ind w:left="420" w:leftChars="200"/>
    </w:pPr>
  </w:style>
  <w:style w:type="paragraph" w:styleId="14">
    <w:name w:val="toc 3"/>
    <w:basedOn w:val="1"/>
    <w:next w:val="1"/>
    <w:unhideWhenUsed/>
    <w:qFormat/>
    <w:uiPriority w:val="39"/>
    <w:pPr>
      <w:ind w:left="840" w:leftChars="400"/>
    </w:pPr>
    <w:rPr>
      <w:rFonts w:eastAsia="宋体"/>
      <w:sz w:val="24"/>
    </w:rPr>
  </w:style>
  <w:style w:type="paragraph" w:styleId="15">
    <w:name w:val="Balloon Text"/>
    <w:basedOn w:val="1"/>
    <w:link w:val="77"/>
    <w:semiHidden/>
    <w:unhideWhenUsed/>
    <w:qFormat/>
    <w:uiPriority w:val="99"/>
    <w:pPr>
      <w:spacing w:line="240" w:lineRule="auto"/>
    </w:pPr>
    <w:rPr>
      <w:sz w:val="18"/>
      <w:szCs w:val="18"/>
    </w:rPr>
  </w:style>
  <w:style w:type="paragraph" w:styleId="16">
    <w:name w:val="footer"/>
    <w:basedOn w:val="1"/>
    <w:link w:val="49"/>
    <w:unhideWhenUsed/>
    <w:qFormat/>
    <w:uiPriority w:val="99"/>
    <w:pPr>
      <w:tabs>
        <w:tab w:val="center" w:pos="4153"/>
        <w:tab w:val="right" w:pos="8306"/>
      </w:tabs>
      <w:snapToGrid w:val="0"/>
      <w:jc w:val="left"/>
    </w:pPr>
    <w:rPr>
      <w:sz w:val="18"/>
      <w:szCs w:val="18"/>
    </w:rPr>
  </w:style>
  <w:style w:type="paragraph" w:styleId="17">
    <w:name w:val="header"/>
    <w:basedOn w:val="1"/>
    <w:link w:val="48"/>
    <w:unhideWhenUsed/>
    <w:qFormat/>
    <w:uiPriority w:val="99"/>
    <w:pPr>
      <w:tabs>
        <w:tab w:val="center" w:pos="4153"/>
        <w:tab w:val="right" w:pos="8306"/>
      </w:tabs>
      <w:snapToGrid w:val="0"/>
      <w:jc w:val="center"/>
    </w:pPr>
    <w:rPr>
      <w:sz w:val="18"/>
      <w:szCs w:val="18"/>
    </w:rPr>
  </w:style>
  <w:style w:type="paragraph" w:styleId="18">
    <w:name w:val="toc 1"/>
    <w:basedOn w:val="1"/>
    <w:next w:val="1"/>
    <w:unhideWhenUsed/>
    <w:qFormat/>
    <w:uiPriority w:val="39"/>
    <w:rPr>
      <w:rFonts w:eastAsia="宋体"/>
      <w:sz w:val="24"/>
    </w:rPr>
  </w:style>
  <w:style w:type="paragraph" w:styleId="19">
    <w:name w:val="Subtitle"/>
    <w:basedOn w:val="1"/>
    <w:next w:val="1"/>
    <w:link w:val="40"/>
    <w:qFormat/>
    <w:uiPriority w:val="11"/>
    <w:pPr>
      <w:spacing w:after="160"/>
      <w:jc w:val="center"/>
    </w:pPr>
    <w:rPr>
      <w:rFonts w:asciiTheme="majorHAnsi" w:hAnsiTheme="majorHAnsi" w:eastAsiaTheme="majorEastAsia" w:cstheme="majorBidi"/>
      <w:color w:val="585858" w:themeColor="text1" w:themeTint="A6"/>
      <w:spacing w:val="15"/>
      <w:sz w:val="28"/>
      <w:szCs w:val="28"/>
    </w:rPr>
  </w:style>
  <w:style w:type="paragraph" w:styleId="20">
    <w:name w:val="toc 2"/>
    <w:basedOn w:val="1"/>
    <w:next w:val="1"/>
    <w:unhideWhenUsed/>
    <w:qFormat/>
    <w:uiPriority w:val="39"/>
    <w:pPr>
      <w:ind w:left="420" w:leftChars="200"/>
    </w:pPr>
    <w:rPr>
      <w:rFonts w:eastAsia="宋体"/>
      <w:sz w:val="24"/>
    </w:rPr>
  </w:style>
  <w:style w:type="paragraph" w:styleId="21">
    <w:name w:val="Title"/>
    <w:next w:val="1"/>
    <w:link w:val="39"/>
    <w:qFormat/>
    <w:uiPriority w:val="10"/>
    <w:pPr>
      <w:spacing w:after="80"/>
      <w:contextualSpacing/>
      <w:outlineLvl w:val="2"/>
    </w:pPr>
    <w:rPr>
      <w:rFonts w:ascii="Times New Roman" w:hAnsi="Times New Roman" w:eastAsia="仿宋_GB2312" w:cstheme="majorBidi"/>
      <w:b/>
      <w:color w:val="000000" w:themeColor="text1"/>
      <w:spacing w:val="-10"/>
      <w:kern w:val="28"/>
      <w:sz w:val="32"/>
      <w:szCs w:val="56"/>
      <w:lang w:val="en-US" w:eastAsia="zh-CN" w:bidi="ar-SA"/>
    </w:rPr>
  </w:style>
  <w:style w:type="paragraph" w:styleId="22">
    <w:name w:val="annotation subject"/>
    <w:basedOn w:val="12"/>
    <w:next w:val="12"/>
    <w:link w:val="70"/>
    <w:semiHidden/>
    <w:unhideWhenUsed/>
    <w:qFormat/>
    <w:uiPriority w:val="99"/>
    <w:rPr>
      <w:b/>
      <w:bCs/>
    </w:rPr>
  </w:style>
  <w:style w:type="paragraph" w:styleId="23">
    <w:name w:val="Body Text First Indent 2"/>
    <w:basedOn w:val="1"/>
    <w:link w:val="60"/>
    <w:qFormat/>
    <w:uiPriority w:val="99"/>
    <w:pPr>
      <w:spacing w:line="240" w:lineRule="auto"/>
      <w:ind w:firstLine="420" w:firstLineChars="0"/>
    </w:pPr>
    <w:rPr>
      <w:rFonts w:asciiTheme="minorHAnsi" w:hAnsiTheme="minorHAnsi" w:eastAsiaTheme="minorEastAsia"/>
      <w:sz w:val="21"/>
      <w:szCs w:val="24"/>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rPr>
  </w:style>
  <w:style w:type="character" w:styleId="28">
    <w:name w:val="Hyperlink"/>
    <w:basedOn w:val="26"/>
    <w:unhideWhenUsed/>
    <w:qFormat/>
    <w:uiPriority w:val="99"/>
    <w:rPr>
      <w:color w:val="0563C1" w:themeColor="hyperlink"/>
      <w:u w:val="single"/>
    </w:rPr>
  </w:style>
  <w:style w:type="character" w:styleId="29">
    <w:name w:val="annotation reference"/>
    <w:basedOn w:val="26"/>
    <w:semiHidden/>
    <w:unhideWhenUsed/>
    <w:qFormat/>
    <w:uiPriority w:val="99"/>
    <w:rPr>
      <w:sz w:val="21"/>
      <w:szCs w:val="21"/>
    </w:rPr>
  </w:style>
  <w:style w:type="character" w:customStyle="1" w:styleId="30">
    <w:name w:val="标题 1 字符"/>
    <w:basedOn w:val="26"/>
    <w:link w:val="2"/>
    <w:qFormat/>
    <w:uiPriority w:val="9"/>
    <w:rPr>
      <w:rFonts w:ascii="Times New Roman" w:hAnsi="Times New Roman" w:eastAsia="黑体" w:cstheme="majorBidi"/>
      <w:color w:val="000000" w:themeColor="text1"/>
      <w:sz w:val="32"/>
      <w:szCs w:val="48"/>
    </w:rPr>
  </w:style>
  <w:style w:type="character" w:customStyle="1" w:styleId="31">
    <w:name w:val="标题 2 字符"/>
    <w:basedOn w:val="26"/>
    <w:link w:val="3"/>
    <w:qFormat/>
    <w:uiPriority w:val="9"/>
    <w:rPr>
      <w:rFonts w:ascii="Times New Roman" w:hAnsi="Times New Roman" w:eastAsia="楷体_GB2312" w:cstheme="majorBidi"/>
      <w:b/>
      <w:color w:val="000000" w:themeColor="text1"/>
      <w:sz w:val="32"/>
      <w:szCs w:val="40"/>
    </w:rPr>
  </w:style>
  <w:style w:type="character" w:customStyle="1" w:styleId="32">
    <w:name w:val="标题 3 字符"/>
    <w:basedOn w:val="26"/>
    <w:link w:val="4"/>
    <w:semiHidden/>
    <w:qFormat/>
    <w:uiPriority w:val="9"/>
    <w:rPr>
      <w:rFonts w:asciiTheme="majorHAnsi" w:hAnsiTheme="majorHAnsi" w:eastAsiaTheme="majorEastAsia" w:cstheme="majorBidi"/>
      <w:color w:val="2F5496" w:themeColor="accent1" w:themeShade="BF"/>
      <w:sz w:val="32"/>
      <w:szCs w:val="32"/>
    </w:rPr>
  </w:style>
  <w:style w:type="character" w:customStyle="1" w:styleId="33">
    <w:name w:val="标题 4 字符"/>
    <w:basedOn w:val="26"/>
    <w:link w:val="5"/>
    <w:semiHidden/>
    <w:qFormat/>
    <w:uiPriority w:val="9"/>
    <w:rPr>
      <w:rFonts w:cstheme="majorBidi"/>
      <w:color w:val="2F5496" w:themeColor="accent1" w:themeShade="BF"/>
      <w:sz w:val="28"/>
      <w:szCs w:val="28"/>
    </w:rPr>
  </w:style>
  <w:style w:type="character" w:customStyle="1" w:styleId="34">
    <w:name w:val="标题 5 字符"/>
    <w:basedOn w:val="26"/>
    <w:link w:val="6"/>
    <w:semiHidden/>
    <w:qFormat/>
    <w:uiPriority w:val="9"/>
    <w:rPr>
      <w:rFonts w:cstheme="majorBidi"/>
      <w:color w:val="2F5496" w:themeColor="accent1" w:themeShade="BF"/>
      <w:sz w:val="24"/>
      <w:szCs w:val="24"/>
    </w:rPr>
  </w:style>
  <w:style w:type="character" w:customStyle="1" w:styleId="35">
    <w:name w:val="标题 6 字符"/>
    <w:basedOn w:val="26"/>
    <w:link w:val="7"/>
    <w:semiHidden/>
    <w:qFormat/>
    <w:uiPriority w:val="9"/>
    <w:rPr>
      <w:rFonts w:cstheme="majorBidi"/>
      <w:b/>
      <w:bCs/>
      <w:color w:val="2F5496" w:themeColor="accent1" w:themeShade="BF"/>
    </w:rPr>
  </w:style>
  <w:style w:type="character" w:customStyle="1" w:styleId="36">
    <w:name w:val="标题 7 字符"/>
    <w:basedOn w:val="26"/>
    <w:link w:val="8"/>
    <w:semiHidden/>
    <w:qFormat/>
    <w:uiPriority w:val="9"/>
    <w:rPr>
      <w:rFonts w:cstheme="majorBidi"/>
      <w:b/>
      <w:bCs/>
      <w:color w:val="585858" w:themeColor="text1" w:themeTint="A6"/>
    </w:rPr>
  </w:style>
  <w:style w:type="character" w:customStyle="1" w:styleId="37">
    <w:name w:val="标题 8 字符"/>
    <w:basedOn w:val="26"/>
    <w:link w:val="9"/>
    <w:semiHidden/>
    <w:qFormat/>
    <w:uiPriority w:val="9"/>
    <w:rPr>
      <w:rFonts w:cstheme="majorBidi"/>
      <w:color w:val="585858" w:themeColor="text1" w:themeTint="A6"/>
    </w:rPr>
  </w:style>
  <w:style w:type="character" w:customStyle="1" w:styleId="38">
    <w:name w:val="标题 9 字符"/>
    <w:basedOn w:val="26"/>
    <w:link w:val="10"/>
    <w:semiHidden/>
    <w:qFormat/>
    <w:uiPriority w:val="9"/>
    <w:rPr>
      <w:rFonts w:eastAsiaTheme="majorEastAsia" w:cstheme="majorBidi"/>
      <w:color w:val="585858" w:themeColor="text1" w:themeTint="A6"/>
    </w:rPr>
  </w:style>
  <w:style w:type="character" w:customStyle="1" w:styleId="39">
    <w:name w:val="标题 字符"/>
    <w:basedOn w:val="26"/>
    <w:link w:val="21"/>
    <w:qFormat/>
    <w:uiPriority w:val="10"/>
    <w:rPr>
      <w:rFonts w:ascii="Times New Roman" w:hAnsi="Times New Roman" w:eastAsia="仿宋_GB2312" w:cstheme="majorBidi"/>
      <w:b/>
      <w:color w:val="000000" w:themeColor="text1"/>
      <w:spacing w:val="-10"/>
      <w:kern w:val="28"/>
      <w:sz w:val="32"/>
      <w:szCs w:val="56"/>
    </w:rPr>
  </w:style>
  <w:style w:type="character" w:customStyle="1" w:styleId="40">
    <w:name w:val="副标题 字符"/>
    <w:basedOn w:val="26"/>
    <w:link w:val="19"/>
    <w:qFormat/>
    <w:uiPriority w:val="11"/>
    <w:rPr>
      <w:rFonts w:asciiTheme="majorHAnsi" w:hAnsiTheme="majorHAnsi" w:eastAsiaTheme="majorEastAsia" w:cstheme="majorBidi"/>
      <w:color w:val="585858" w:themeColor="text1" w:themeTint="A6"/>
      <w:spacing w:val="15"/>
      <w:sz w:val="28"/>
      <w:szCs w:val="28"/>
    </w:rPr>
  </w:style>
  <w:style w:type="paragraph" w:styleId="41">
    <w:name w:val="Quote"/>
    <w:basedOn w:val="1"/>
    <w:next w:val="1"/>
    <w:link w:val="42"/>
    <w:qFormat/>
    <w:uiPriority w:val="29"/>
    <w:pPr>
      <w:spacing w:before="160" w:after="160"/>
      <w:jc w:val="center"/>
    </w:pPr>
    <w:rPr>
      <w:i/>
      <w:iCs/>
      <w:color w:val="3F3F3F" w:themeColor="text1" w:themeTint="BF"/>
    </w:rPr>
  </w:style>
  <w:style w:type="character" w:customStyle="1" w:styleId="42">
    <w:name w:val="引用 字符"/>
    <w:basedOn w:val="26"/>
    <w:link w:val="41"/>
    <w:qFormat/>
    <w:uiPriority w:val="29"/>
    <w:rPr>
      <w:i/>
      <w:iCs/>
      <w:color w:val="3F3F3F" w:themeColor="text1" w:themeTint="BF"/>
    </w:rPr>
  </w:style>
  <w:style w:type="paragraph" w:styleId="43">
    <w:name w:val="List Paragraph"/>
    <w:basedOn w:val="1"/>
    <w:qFormat/>
    <w:uiPriority w:val="34"/>
    <w:pPr>
      <w:ind w:left="720"/>
      <w:contextualSpacing/>
    </w:pPr>
  </w:style>
  <w:style w:type="character" w:customStyle="1" w:styleId="44">
    <w:name w:val="明显强调1"/>
    <w:basedOn w:val="26"/>
    <w:qFormat/>
    <w:uiPriority w:val="21"/>
    <w:rPr>
      <w:i/>
      <w:iCs/>
      <w:color w:val="2F5496" w:themeColor="accent1" w:themeShade="BF"/>
    </w:rPr>
  </w:style>
  <w:style w:type="paragraph" w:styleId="45">
    <w:name w:val="Intense Quote"/>
    <w:basedOn w:val="1"/>
    <w:next w:val="1"/>
    <w:link w:val="4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customStyle="1" w:styleId="46">
    <w:name w:val="明显引用 字符"/>
    <w:basedOn w:val="26"/>
    <w:link w:val="45"/>
    <w:qFormat/>
    <w:uiPriority w:val="30"/>
    <w:rPr>
      <w:i/>
      <w:iCs/>
      <w:color w:val="2F5496" w:themeColor="accent1" w:themeShade="BF"/>
    </w:rPr>
  </w:style>
  <w:style w:type="character" w:customStyle="1" w:styleId="47">
    <w:name w:val="明显参考1"/>
    <w:basedOn w:val="26"/>
    <w:qFormat/>
    <w:uiPriority w:val="32"/>
    <w:rPr>
      <w:b/>
      <w:bCs/>
      <w:smallCaps/>
      <w:color w:val="2F5496" w:themeColor="accent1" w:themeShade="BF"/>
      <w:spacing w:val="5"/>
    </w:rPr>
  </w:style>
  <w:style w:type="character" w:customStyle="1" w:styleId="48">
    <w:name w:val="页眉 字符"/>
    <w:basedOn w:val="26"/>
    <w:link w:val="17"/>
    <w:qFormat/>
    <w:uiPriority w:val="99"/>
    <w:rPr>
      <w:sz w:val="18"/>
      <w:szCs w:val="18"/>
    </w:rPr>
  </w:style>
  <w:style w:type="character" w:customStyle="1" w:styleId="49">
    <w:name w:val="页脚 字符"/>
    <w:basedOn w:val="26"/>
    <w:link w:val="16"/>
    <w:qFormat/>
    <w:uiPriority w:val="99"/>
    <w:rPr>
      <w:sz w:val="18"/>
      <w:szCs w:val="18"/>
    </w:rPr>
  </w:style>
  <w:style w:type="table" w:customStyle="1" w:styleId="50">
    <w:name w:val="网格型1"/>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表格"/>
    <w:link w:val="52"/>
    <w:qFormat/>
    <w:uiPriority w:val="0"/>
    <w:pPr>
      <w:spacing w:line="500" w:lineRule="exact"/>
      <w:ind w:firstLine="200" w:firstLineChars="200"/>
      <w:jc w:val="both"/>
    </w:pPr>
    <w:rPr>
      <w:rFonts w:ascii="Times New Roman" w:hAnsi="Times New Roman" w:eastAsia="宋体" w:cs="宋体"/>
      <w:sz w:val="24"/>
      <w:szCs w:val="24"/>
      <w:lang w:val="en-US" w:eastAsia="zh-CN" w:bidi="ar-SA"/>
    </w:rPr>
  </w:style>
  <w:style w:type="character" w:customStyle="1" w:styleId="52">
    <w:name w:val="表格 字符"/>
    <w:basedOn w:val="26"/>
    <w:link w:val="51"/>
    <w:qFormat/>
    <w:uiPriority w:val="0"/>
    <w:rPr>
      <w:rFonts w:ascii="Times New Roman" w:hAnsi="Times New Roman" w:eastAsia="宋体" w:cs="宋体"/>
      <w:kern w:val="0"/>
      <w:sz w:val="24"/>
      <w:szCs w:val="24"/>
    </w:rPr>
  </w:style>
  <w:style w:type="table" w:customStyle="1" w:styleId="53">
    <w:name w:val="网格型2"/>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网格型3"/>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4"/>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5"/>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6"/>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7"/>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正文文本缩进 字符"/>
    <w:basedOn w:val="26"/>
    <w:link w:val="13"/>
    <w:semiHidden/>
    <w:qFormat/>
    <w:uiPriority w:val="99"/>
    <w:rPr>
      <w:rFonts w:ascii="Times New Roman" w:hAnsi="Times New Roman" w:eastAsia="仿宋_GB2312"/>
      <w:sz w:val="32"/>
    </w:rPr>
  </w:style>
  <w:style w:type="character" w:customStyle="1" w:styleId="60">
    <w:name w:val="正文文本首行缩进 2 字符"/>
    <w:basedOn w:val="59"/>
    <w:link w:val="23"/>
    <w:qFormat/>
    <w:uiPriority w:val="99"/>
    <w:rPr>
      <w:rFonts w:ascii="Times New Roman" w:hAnsi="Times New Roman" w:eastAsia="仿宋_GB2312"/>
      <w:sz w:val="32"/>
      <w:szCs w:val="24"/>
    </w:rPr>
  </w:style>
  <w:style w:type="table" w:customStyle="1" w:styleId="61">
    <w:name w:val="网格型8"/>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2">
    <w:name w:val="NormalIndent"/>
    <w:basedOn w:val="1"/>
    <w:qFormat/>
    <w:uiPriority w:val="99"/>
    <w:pPr>
      <w:spacing w:line="240" w:lineRule="auto"/>
      <w:ind w:firstLine="420"/>
    </w:pPr>
    <w:rPr>
      <w:rFonts w:asciiTheme="minorHAnsi" w:hAnsiTheme="minorHAnsi" w:eastAsiaTheme="minorEastAsia"/>
      <w:sz w:val="21"/>
      <w:szCs w:val="24"/>
    </w:rPr>
  </w:style>
  <w:style w:type="table" w:customStyle="1" w:styleId="63">
    <w:name w:val="网格型9"/>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10"/>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5">
    <w:name w:val="WPSOffice手动目录 1"/>
    <w:qFormat/>
    <w:uiPriority w:val="0"/>
    <w:rPr>
      <w:rFonts w:asciiTheme="minorHAnsi" w:hAnsiTheme="minorHAnsi" w:eastAsiaTheme="minorEastAsia" w:cstheme="minorBidi"/>
      <w:lang w:val="en-US" w:eastAsia="zh-CN" w:bidi="ar-SA"/>
    </w:rPr>
  </w:style>
  <w:style w:type="paragraph" w:customStyle="1" w:styleId="6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7">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68">
    <w:name w:val="修订1"/>
    <w:hidden/>
    <w:unhideWhenUsed/>
    <w:qFormat/>
    <w:uiPriority w:val="99"/>
    <w:rPr>
      <w:rFonts w:ascii="Times New Roman" w:hAnsi="Times New Roman" w:eastAsia="仿宋_GB2312" w:cstheme="minorBidi"/>
      <w:kern w:val="2"/>
      <w:sz w:val="32"/>
      <w:szCs w:val="22"/>
      <w:lang w:val="en-US" w:eastAsia="zh-CN" w:bidi="ar-SA"/>
    </w:rPr>
  </w:style>
  <w:style w:type="character" w:customStyle="1" w:styleId="69">
    <w:name w:val="批注文字 字符"/>
    <w:basedOn w:val="26"/>
    <w:link w:val="12"/>
    <w:qFormat/>
    <w:uiPriority w:val="99"/>
    <w:rPr>
      <w:rFonts w:ascii="Times New Roman" w:hAnsi="Times New Roman" w:eastAsia="仿宋_GB2312"/>
      <w:kern w:val="2"/>
      <w:sz w:val="32"/>
      <w:szCs w:val="22"/>
    </w:rPr>
  </w:style>
  <w:style w:type="character" w:customStyle="1" w:styleId="70">
    <w:name w:val="批注主题 字符"/>
    <w:basedOn w:val="69"/>
    <w:link w:val="22"/>
    <w:semiHidden/>
    <w:qFormat/>
    <w:uiPriority w:val="99"/>
    <w:rPr>
      <w:rFonts w:ascii="Times New Roman" w:hAnsi="Times New Roman" w:eastAsia="仿宋_GB2312"/>
      <w:b/>
      <w:bCs/>
      <w:kern w:val="2"/>
      <w:sz w:val="32"/>
      <w:szCs w:val="22"/>
    </w:rPr>
  </w:style>
  <w:style w:type="paragraph" w:customStyle="1" w:styleId="71">
    <w:name w:val="修订2"/>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72">
    <w:name w:val="修订3"/>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73">
    <w:name w:val="Default"/>
    <w:qFormat/>
    <w:uiPriority w:val="0"/>
    <w:pPr>
      <w:widowControl w:val="0"/>
      <w:autoSpaceDE w:val="0"/>
      <w:autoSpaceDN w:val="0"/>
      <w:adjustRightInd w:val="0"/>
    </w:pPr>
    <w:rPr>
      <w:rFonts w:ascii="___WRD_EMBED_SUB_45" w:eastAsia="___WRD_EMBED_SUB_45" w:cs="___WRD_EMBED_SUB_45" w:hAnsiTheme="minorHAnsi"/>
      <w:color w:val="000000"/>
      <w:sz w:val="24"/>
      <w:szCs w:val="24"/>
      <w:lang w:val="en-US" w:eastAsia="zh-CN" w:bidi="ar-SA"/>
    </w:rPr>
  </w:style>
  <w:style w:type="table" w:customStyle="1" w:styleId="74">
    <w:name w:val="网格型1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Table Text"/>
    <w:basedOn w:val="1"/>
    <w:qFormat/>
    <w:uiPriority w:val="0"/>
    <w:pPr>
      <w:spacing w:line="240" w:lineRule="auto"/>
      <w:ind w:firstLine="0" w:firstLineChars="0"/>
    </w:pPr>
    <w:rPr>
      <w:rFonts w:ascii="华文楷体" w:hAnsi="华文楷体" w:eastAsia="华文楷体" w:cs="华文楷体"/>
      <w:sz w:val="35"/>
      <w:szCs w:val="35"/>
      <w:lang w:eastAsia="en-US"/>
    </w:rPr>
  </w:style>
  <w:style w:type="character" w:customStyle="1" w:styleId="76">
    <w:name w:val="文档结构图 字符"/>
    <w:basedOn w:val="26"/>
    <w:link w:val="11"/>
    <w:semiHidden/>
    <w:qFormat/>
    <w:uiPriority w:val="99"/>
    <w:rPr>
      <w:rFonts w:ascii="宋体" w:cstheme="minorBidi"/>
      <w:kern w:val="2"/>
      <w:sz w:val="18"/>
      <w:szCs w:val="18"/>
    </w:rPr>
  </w:style>
  <w:style w:type="character" w:customStyle="1" w:styleId="77">
    <w:name w:val="批注框文本 字符"/>
    <w:basedOn w:val="26"/>
    <w:link w:val="15"/>
    <w:semiHidden/>
    <w:qFormat/>
    <w:uiPriority w:val="99"/>
    <w:rPr>
      <w:rFonts w:eastAsia="仿宋_GB2312"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82DAEB-AAC2-4321-954A-1D4E76FE180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44</Pages>
  <Words>10112</Words>
  <Characters>10923</Characters>
  <Lines>910</Lines>
  <Paragraphs>657</Paragraphs>
  <TotalTime>46</TotalTime>
  <ScaleCrop>false</ScaleCrop>
  <LinksUpToDate>false</LinksUpToDate>
  <CharactersWithSpaces>20378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2026-03-13T12:05:00Z</dcterms:created>
  <dc:creator>王滕菲 滕</dc:creator>
  <cp:lastModifiedBy>Sunshine</cp:lastModifiedBy>
  <cp:lastPrinted>2026-03-18T04:09:00Z</cp:lastPrinted>
  <dcterms:modified xsi:type="dcterms:W3CDTF">2026-03-24T03:53:27Z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eyJoZGlkIjoiMmEwYWFmZGUwNWI3MmE3MzRkY2IwYWNkOTY3NTgzN2EiLCJ1c2VySWQiOiIyMzI4Mjg1NTkifQ==</vt:lpwstr>
  </property>
  <property fmtid="{D5CDD505-2E9C-101B-9397-08002B2CF9AE}" pid="3" name="KSOProductBuildVer">
    <vt:lpwstr>2052-11.8.2.10393</vt:lpwstr>
  </property>
  <property fmtid="{D5CDD505-2E9C-101B-9397-08002B2CF9AE}" pid="4" name="ICV">
    <vt:lpwstr>89907C1325B279D06AA4B169264EA928_43</vt:lpwstr>
  </property>
</Properties>
</file>