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80" w:lineRule="exact"/>
        <w:jc w:val="center"/>
        <w:rPr>
          <w:rFonts w:ascii="方正小标宋_GBK" w:hAnsi="方正小标宋_GBK" w:eastAsia="方正小标宋_GBK" w:cs="方正小标宋_GBK"/>
          <w:sz w:val="40"/>
          <w:szCs w:val="48"/>
          <w14:ligatures w14:val="none"/>
        </w:rPr>
      </w:pPr>
      <w:r>
        <w:rPr>
          <w:rFonts w:hint="eastAsia" w:ascii="方正小标宋_GBK" w:hAnsi="方正小标宋_GBK" w:eastAsia="方正小标宋_GBK" w:cs="方正小标宋_GBK"/>
          <w:sz w:val="40"/>
          <w:szCs w:val="48"/>
          <w14:ligatures w14:val="none"/>
        </w:rPr>
        <w:t>关于</w:t>
      </w:r>
      <w:r>
        <w:rPr>
          <w:rFonts w:ascii="方正小标宋_GBK" w:hAnsi="方正小标宋_GBK" w:eastAsia="方正小标宋_GBK" w:cs="方正小标宋_GBK"/>
          <w:sz w:val="40"/>
          <w:szCs w:val="48"/>
          <w14:ligatures w14:val="none"/>
        </w:rPr>
        <w:t>《莎车县国土空间总体规划2026年度动态维护方案》</w:t>
      </w:r>
      <w:r>
        <w:rPr>
          <w:rFonts w:hint="eastAsia" w:ascii="方正小标宋_GBK" w:hAnsi="方正小标宋_GBK" w:eastAsia="方正小标宋_GBK" w:cs="方正小标宋_GBK"/>
          <w:sz w:val="40"/>
          <w:szCs w:val="48"/>
          <w14:ligatures w14:val="none"/>
        </w:rPr>
        <w:t>的</w:t>
      </w:r>
      <w:r>
        <w:rPr>
          <w:rFonts w:ascii="方正小标宋_GBK" w:hAnsi="方正小标宋_GBK" w:eastAsia="方正小标宋_GBK" w:cs="方正小标宋_GBK"/>
          <w:sz w:val="40"/>
          <w:szCs w:val="48"/>
          <w14:ligatures w14:val="none"/>
        </w:rPr>
        <w:t>起草说明</w:t>
      </w:r>
    </w:p>
    <w:p>
      <w:pPr>
        <w:spacing w:after="0" w:line="580" w:lineRule="exact"/>
        <w:jc w:val="center"/>
        <w:rPr>
          <w:rFonts w:hint="eastAsia" w:ascii="方正小标宋_GBK" w:hAnsi="方正小标宋_GBK" w:eastAsia="方正小标宋_GBK" w:cs="方正小标宋_GBK"/>
          <w:sz w:val="40"/>
          <w:szCs w:val="48"/>
          <w14:ligatures w14:val="none"/>
        </w:rPr>
      </w:pP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一、起草背景</w:t>
      </w:r>
    </w:p>
    <w:p>
      <w:pPr>
        <w:spacing w:after="0" w:line="620" w:lineRule="exact"/>
        <w:ind w:firstLine="640" w:firstLineChars="200"/>
        <w:jc w:val="both"/>
        <w:rPr>
          <w:rFonts w:ascii="Times New Roman" w:hAnsi="Times New Roman" w:eastAsia="方正仿宋_GBK" w:cs="Times New Roman"/>
          <w:sz w:val="32"/>
          <w:szCs w:val="40"/>
          <w14:ligatures w14:val="none"/>
        </w:rPr>
      </w:pPr>
      <w:r>
        <w:rPr>
          <w:rFonts w:ascii="Times New Roman" w:hAnsi="Times New Roman" w:eastAsia="方正仿宋_GBK" w:cs="Times New Roman"/>
          <w:sz w:val="32"/>
          <w:szCs w:val="40"/>
          <w14:ligatures w14:val="none"/>
        </w:rPr>
        <w:t>为落实党的二十届四中全会精神、自治区“十五五”发展部署，依据自然资源部规划动态调整相关要求及《关于开展全区国土空间总体规划动态调整完善工作的通知》（新自然资办发〔2026〕13号），结合同期国土空间规划体检评估成果，我县启动本次年度规划动态维护编制工作。2026年</w:t>
      </w:r>
      <w:r>
        <w:rPr>
          <w:rFonts w:hint="eastAsia" w:ascii="Times New Roman" w:hAnsi="Times New Roman" w:eastAsia="方正仿宋_GBK" w:cs="Times New Roman"/>
          <w:sz w:val="32"/>
          <w:szCs w:val="40"/>
          <w:lang w:eastAsia="zh-CN"/>
          <w14:ligatures w14:val="none"/>
        </w:rPr>
        <w:t>是</w:t>
      </w:r>
      <w:r>
        <w:rPr>
          <w:rFonts w:ascii="Times New Roman" w:hAnsi="Times New Roman" w:eastAsia="方正仿宋_GBK" w:cs="Times New Roman"/>
          <w:sz w:val="32"/>
          <w:szCs w:val="40"/>
          <w14:ligatures w14:val="none"/>
        </w:rPr>
        <w:t>“十五五”开局之年，县域产业升级、交通水利、民生工程等新增大量重点项目，原有规划用地布局、管控边界与发展实际存在错配，同时规划实施中存在永久基本农田图斑零散、城镇边界形态破碎、新增文物保护范围未纳入管控等突出问题，亟需通过动态维护实现规划从静态蓝图向动态实施治理转变。</w:t>
      </w: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二、编制必要性</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1．</w:t>
      </w:r>
      <w:r>
        <w:rPr>
          <w:rFonts w:ascii="Times New Roman" w:hAnsi="Times New Roman" w:eastAsia="方正仿宋_GBK" w:cs="Times New Roman"/>
          <w:sz w:val="32"/>
          <w:szCs w:val="40"/>
          <w14:ligatures w14:val="none"/>
        </w:rPr>
        <w:t>落实上级硬性工作要求：自治区明确各县每年需结合规划体检开展国土空间总体规划动态维护，将五年规划新任务传导至国土空间“一张图”，是法定常态化规划管理工作。</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2．</w:t>
      </w:r>
      <w:r>
        <w:rPr>
          <w:rFonts w:ascii="Times New Roman" w:hAnsi="Times New Roman" w:eastAsia="方正仿宋_GBK" w:cs="Times New Roman"/>
          <w:sz w:val="32"/>
          <w:szCs w:val="40"/>
          <w14:ligatures w14:val="none"/>
        </w:rPr>
        <w:t>保障“十五五”重点项目落地：统筹2026年度及中长期能源、交通、水利、产业、民生项目空间需求，通过合规调整解决项目用地规划支撑不足问题，服务县域高质量发展。</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3．</w:t>
      </w:r>
      <w:r>
        <w:rPr>
          <w:rFonts w:ascii="Times New Roman" w:hAnsi="Times New Roman" w:eastAsia="方正仿宋_GBK" w:cs="Times New Roman"/>
          <w:sz w:val="32"/>
          <w:szCs w:val="40"/>
          <w14:ligatures w14:val="none"/>
        </w:rPr>
        <w:t>优化全域空间管控质量：规整永久基本农田图斑、优化城镇开发边界布局，提升耕地连片度与土地集约利用水平；同步新增文物保护管控范围，补齐历史文化、安全空间管控短板。</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4．</w:t>
      </w:r>
      <w:r>
        <w:rPr>
          <w:rFonts w:ascii="Times New Roman" w:hAnsi="Times New Roman" w:eastAsia="方正仿宋_GBK" w:cs="Times New Roman"/>
          <w:sz w:val="32"/>
          <w:szCs w:val="40"/>
          <w14:ligatures w14:val="none"/>
        </w:rPr>
        <w:t>构建规划全周期闭环管理：建立“体检—反馈—优化”长效机制，在守住规划法定底线基础上赋予发展弹性，化解规划实施历史遗留矛盾，提升国土空间精细化治理能力。</w:t>
      </w: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三、主要编制依据</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1．</w:t>
      </w:r>
      <w:r>
        <w:rPr>
          <w:rFonts w:ascii="Times New Roman" w:hAnsi="Times New Roman" w:eastAsia="方正仿宋_GBK" w:cs="Times New Roman"/>
          <w:sz w:val="32"/>
          <w:szCs w:val="40"/>
          <w14:ligatures w14:val="none"/>
        </w:rPr>
        <w:t>《</w:t>
      </w:r>
      <w:r>
        <w:rPr>
          <w:rFonts w:hint="eastAsia" w:ascii="Times New Roman" w:hAnsi="Times New Roman" w:eastAsia="方正仿宋_GBK" w:cs="Times New Roman"/>
          <w:sz w:val="32"/>
          <w:szCs w:val="40"/>
          <w14:ligatures w14:val="none"/>
        </w:rPr>
        <w:t>中华人民共和国土地管理法</w:t>
      </w:r>
      <w:r>
        <w:rPr>
          <w:rFonts w:ascii="Times New Roman" w:hAnsi="Times New Roman" w:eastAsia="方正仿宋_GBK" w:cs="Times New Roman"/>
          <w:sz w:val="32"/>
          <w:szCs w:val="40"/>
          <w14:ligatures w14:val="none"/>
        </w:rPr>
        <w:t>》《</w:t>
      </w:r>
      <w:r>
        <w:rPr>
          <w:rFonts w:hint="eastAsia" w:ascii="Times New Roman" w:hAnsi="Times New Roman" w:eastAsia="方正仿宋_GBK" w:cs="Times New Roman"/>
          <w:sz w:val="32"/>
          <w:szCs w:val="40"/>
          <w14:ligatures w14:val="none"/>
        </w:rPr>
        <w:t>中华人民共和国城乡规划法</w:t>
      </w:r>
      <w:r>
        <w:rPr>
          <w:rFonts w:ascii="Times New Roman" w:hAnsi="Times New Roman" w:eastAsia="方正仿宋_GBK" w:cs="Times New Roman"/>
          <w:sz w:val="32"/>
          <w:szCs w:val="40"/>
          <w14:ligatures w14:val="none"/>
        </w:rPr>
        <w:t>》等法律法规；</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2．</w:t>
      </w:r>
      <w:r>
        <w:rPr>
          <w:rFonts w:ascii="Times New Roman" w:hAnsi="Times New Roman" w:eastAsia="方正仿宋_GBK" w:cs="Times New Roman"/>
          <w:sz w:val="32"/>
          <w:szCs w:val="40"/>
          <w14:ligatures w14:val="none"/>
        </w:rPr>
        <w:t>自然资源部</w:t>
      </w:r>
      <w:r>
        <w:rPr>
          <w:rFonts w:hint="eastAsia" w:ascii="Times New Roman" w:hAnsi="Times New Roman" w:eastAsia="方正仿宋_GBK" w:cs="Times New Roman"/>
          <w:sz w:val="32"/>
          <w:szCs w:val="40"/>
          <w14:ligatures w14:val="none"/>
        </w:rPr>
        <w:t>、</w:t>
      </w:r>
      <w:r>
        <w:rPr>
          <w:rFonts w:ascii="Times New Roman" w:hAnsi="Times New Roman" w:eastAsia="方正仿宋_GBK" w:cs="Times New Roman"/>
          <w:sz w:val="32"/>
          <w:szCs w:val="40"/>
          <w14:ligatures w14:val="none"/>
        </w:rPr>
        <w:t>自治区自然资源厅国土空间动态调整相关文件、技术规范；</w:t>
      </w:r>
    </w:p>
    <w:p>
      <w:pPr>
        <w:tabs>
          <w:tab w:val="left" w:pos="720"/>
        </w:tabs>
        <w:spacing w:after="0" w:line="620" w:lineRule="exact"/>
        <w:ind w:firstLine="640" w:firstLineChars="200"/>
        <w:jc w:val="both"/>
        <w:rPr>
          <w:rFonts w:hint="eastAsia"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3．</w:t>
      </w:r>
      <w:r>
        <w:rPr>
          <w:rFonts w:ascii="Times New Roman" w:hAnsi="Times New Roman" w:eastAsia="方正仿宋_GBK" w:cs="Times New Roman"/>
          <w:sz w:val="32"/>
          <w:szCs w:val="40"/>
          <w14:ligatures w14:val="none"/>
        </w:rPr>
        <w:t>已批复《莎车县国土空间总体规划（2021—2035年）》、县“十五五”规划、耕地保护、国土绿化等专项规划</w:t>
      </w:r>
      <w:r>
        <w:rPr>
          <w:rFonts w:hint="eastAsia" w:ascii="Times New Roman" w:hAnsi="Times New Roman" w:eastAsia="方正仿宋_GBK" w:cs="Times New Roman"/>
          <w:sz w:val="32"/>
          <w:szCs w:val="40"/>
          <w14:ligatures w14:val="none"/>
        </w:rPr>
        <w:t>。</w:t>
      </w: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四、起草工作流程</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1．</w:t>
      </w:r>
      <w:r>
        <w:rPr>
          <w:rFonts w:ascii="Times New Roman" w:hAnsi="Times New Roman" w:eastAsia="方正仿宋_GBK" w:cs="Times New Roman"/>
          <w:sz w:val="32"/>
          <w:szCs w:val="40"/>
          <w14:ligatures w14:val="none"/>
        </w:rPr>
        <w:t>摸排诊断：2026年3—4月开展全域规划体检，征集各乡镇、行业部门项目用地需求，梳理问题与需求清单；</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2．</w:t>
      </w:r>
      <w:r>
        <w:rPr>
          <w:rFonts w:ascii="Times New Roman" w:hAnsi="Times New Roman" w:eastAsia="方正仿宋_GBK" w:cs="Times New Roman"/>
          <w:sz w:val="32"/>
          <w:szCs w:val="40"/>
          <w14:ligatures w14:val="none"/>
        </w:rPr>
        <w:t>初稿编制：5—6月委托上海同济城市规划设计研究院开展技术编制，严守生态、耕地刚性底线，完成三条控制线、规划分区、中心城区用地、项目清单、城市控制线优化，形成初稿；</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3．</w:t>
      </w:r>
      <w:r>
        <w:rPr>
          <w:rFonts w:ascii="Times New Roman" w:hAnsi="Times New Roman" w:eastAsia="方正仿宋_GBK" w:cs="Times New Roman"/>
          <w:sz w:val="32"/>
          <w:szCs w:val="40"/>
          <w14:ligatures w14:val="none"/>
        </w:rPr>
        <w:t>论证完善：7月组织部门、专家评审，优化图斑、完善项目台账，形成草案；</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4．</w:t>
      </w:r>
      <w:r>
        <w:rPr>
          <w:rFonts w:ascii="Times New Roman" w:hAnsi="Times New Roman" w:eastAsia="方正仿宋_GBK" w:cs="Times New Roman"/>
          <w:sz w:val="32"/>
          <w:szCs w:val="40"/>
          <w14:ligatures w14:val="none"/>
        </w:rPr>
        <w:t>公示筹备：8月完成文本、附图整理，启动社会公示程序。</w:t>
      </w: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五、方案核心内容</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ascii="Times New Roman" w:hAnsi="Times New Roman" w:eastAsia="方正仿宋_GBK" w:cs="Times New Roman"/>
          <w:sz w:val="32"/>
          <w:szCs w:val="40"/>
          <w14:ligatures w14:val="none"/>
        </w:rPr>
        <w:t>本次维护全程不突破总体规划约束</w:t>
      </w:r>
      <w:r>
        <w:rPr>
          <w:rFonts w:hint="eastAsia" w:ascii="Times New Roman" w:hAnsi="Times New Roman" w:eastAsia="方正仿宋_GBK" w:cs="Times New Roman"/>
          <w:sz w:val="32"/>
          <w:szCs w:val="40"/>
          <w:lang w:eastAsia="zh-CN"/>
          <w14:ligatures w14:val="none"/>
        </w:rPr>
        <w:t>性</w:t>
      </w:r>
      <w:r>
        <w:rPr>
          <w:rFonts w:ascii="Times New Roman" w:hAnsi="Times New Roman" w:eastAsia="方正仿宋_GBK" w:cs="Times New Roman"/>
          <w:sz w:val="32"/>
          <w:szCs w:val="40"/>
          <w14:ligatures w14:val="none"/>
        </w:rPr>
        <w:t>指标、不改变县域整体空间格局，开展五大类正向优化：</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1．</w:t>
      </w:r>
      <w:r>
        <w:rPr>
          <w:rFonts w:ascii="Times New Roman" w:hAnsi="Times New Roman" w:eastAsia="方正仿宋_GBK" w:cs="Times New Roman"/>
          <w:sz w:val="32"/>
          <w:szCs w:val="40"/>
          <w14:ligatures w14:val="none"/>
        </w:rPr>
        <w:t>空间管控边界：优化永久基本农田布局，生态红线、洪涝控制线不作调整；城镇开发边界局部调出闲置地块、合规调入项目用地，避让各类生态敏感区；衔接文物普查成果新增历史文化保护线。</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2．</w:t>
      </w:r>
      <w:r>
        <w:rPr>
          <w:rFonts w:ascii="Times New Roman" w:hAnsi="Times New Roman" w:eastAsia="方正仿宋_GBK" w:cs="Times New Roman"/>
          <w:sz w:val="32"/>
          <w:szCs w:val="40"/>
          <w14:ligatures w14:val="none"/>
        </w:rPr>
        <w:t>规划分区：联动三条控制线调整六大功能分区边界，保障各分区主导功能稳定、空间连片完整。</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3．</w:t>
      </w:r>
      <w:r>
        <w:rPr>
          <w:rFonts w:ascii="Times New Roman" w:hAnsi="Times New Roman" w:eastAsia="方正仿宋_GBK" w:cs="Times New Roman"/>
          <w:sz w:val="32"/>
          <w:szCs w:val="40"/>
          <w14:ligatures w14:val="none"/>
        </w:rPr>
        <w:t>中心城区用地：依据已批复详规局部微调居住、公共服务、产业、绿地等用地，完善多级服务体系与组团业态定位。</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4．</w:t>
      </w:r>
      <w:r>
        <w:rPr>
          <w:rFonts w:ascii="Times New Roman" w:hAnsi="Times New Roman" w:eastAsia="方正仿宋_GBK" w:cs="Times New Roman"/>
          <w:sz w:val="32"/>
          <w:szCs w:val="40"/>
          <w14:ligatures w14:val="none"/>
        </w:rPr>
        <w:t>重点项目清单：分类梳理能源、交通、水利等项目，明确用地、建设时序，实行上图清单化保障。</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5．</w:t>
      </w:r>
      <w:r>
        <w:rPr>
          <w:rFonts w:ascii="Times New Roman" w:hAnsi="Times New Roman" w:eastAsia="方正仿宋_GBK" w:cs="Times New Roman"/>
          <w:sz w:val="32"/>
          <w:szCs w:val="40"/>
          <w14:ligatures w14:val="none"/>
        </w:rPr>
        <w:t>城市控制线：结合权属、项目需求微调城市绿、黄、蓝线边界，匹配详细规划实施要求。</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6．</w:t>
      </w:r>
      <w:r>
        <w:rPr>
          <w:rFonts w:ascii="Times New Roman" w:hAnsi="Times New Roman" w:eastAsia="方正仿宋_GBK" w:cs="Times New Roman"/>
          <w:sz w:val="32"/>
          <w:szCs w:val="40"/>
          <w14:ligatures w14:val="none"/>
        </w:rPr>
        <w:t>同时明确实施保障：调整成果同步传导至乡镇总规、村庄规划、行业专项规划，依托规划“一张图”系统实现全生命周期监测监管。</w:t>
      </w: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六、核心编制原则</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1．</w:t>
      </w:r>
      <w:r>
        <w:rPr>
          <w:rFonts w:ascii="Times New Roman" w:hAnsi="Times New Roman" w:eastAsia="方正仿宋_GBK" w:cs="Times New Roman"/>
          <w:sz w:val="32"/>
          <w:szCs w:val="40"/>
          <w14:ligatures w14:val="none"/>
        </w:rPr>
        <w:t>底线约束：严守永久基本农田、生态红线，仅做布局优化，不缩减保护规模；</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2．</w:t>
      </w:r>
      <w:r>
        <w:rPr>
          <w:rFonts w:ascii="Times New Roman" w:hAnsi="Times New Roman" w:eastAsia="方正仿宋_GBK" w:cs="Times New Roman"/>
          <w:sz w:val="32"/>
          <w:szCs w:val="40"/>
          <w14:ligatures w14:val="none"/>
        </w:rPr>
        <w:t>合规可控：所有地块调整完成耕地、生态、文物合规核查，规避管控风险；</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3．</w:t>
      </w:r>
      <w:r>
        <w:rPr>
          <w:rFonts w:ascii="Times New Roman" w:hAnsi="Times New Roman" w:eastAsia="方正仿宋_GBK" w:cs="Times New Roman"/>
          <w:sz w:val="32"/>
          <w:szCs w:val="40"/>
          <w14:ligatures w14:val="none"/>
        </w:rPr>
        <w:t>总量稳定：不突破城镇建设用地规模，县域整体空间发展格局保持不变；</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4．</w:t>
      </w:r>
      <w:r>
        <w:rPr>
          <w:rFonts w:ascii="Times New Roman" w:hAnsi="Times New Roman" w:eastAsia="方正仿宋_GBK" w:cs="Times New Roman"/>
          <w:sz w:val="32"/>
          <w:szCs w:val="40"/>
          <w14:ligatures w14:val="none"/>
        </w:rPr>
        <w:t>需求导向：优先保障民生、基础设施、</w:t>
      </w:r>
      <w:r>
        <w:rPr>
          <w:rFonts w:hint="eastAsia" w:ascii="Times New Roman" w:hAnsi="Times New Roman" w:eastAsia="方正仿宋_GBK" w:cs="Times New Roman"/>
          <w:sz w:val="32"/>
          <w:szCs w:val="40"/>
          <w14:ligatures w14:val="none"/>
        </w:rPr>
        <w:t>战略性新兴产业项目</w:t>
      </w:r>
      <w:r>
        <w:rPr>
          <w:rFonts w:ascii="Times New Roman" w:hAnsi="Times New Roman" w:eastAsia="方正仿宋_GBK" w:cs="Times New Roman"/>
          <w:sz w:val="32"/>
          <w:szCs w:val="40"/>
          <w14:ligatures w14:val="none"/>
        </w:rPr>
        <w:t>落地；</w:t>
      </w:r>
      <w:bookmarkStart w:id="0" w:name="_GoBack"/>
      <w:bookmarkEnd w:id="0"/>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5．</w:t>
      </w:r>
      <w:r>
        <w:rPr>
          <w:rFonts w:ascii="Times New Roman" w:hAnsi="Times New Roman" w:eastAsia="方正仿宋_GBK" w:cs="Times New Roman"/>
          <w:sz w:val="32"/>
          <w:szCs w:val="40"/>
          <w14:ligatures w14:val="none"/>
        </w:rPr>
        <w:t>长效治理：以年度动态维护完善规划闭环管理机制。</w:t>
      </w: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七、预期成效</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1．</w:t>
      </w:r>
      <w:r>
        <w:rPr>
          <w:rFonts w:ascii="Times New Roman" w:hAnsi="Times New Roman" w:eastAsia="方正仿宋_GBK" w:cs="Times New Roman"/>
          <w:sz w:val="32"/>
          <w:szCs w:val="40"/>
          <w14:ligatures w14:val="none"/>
        </w:rPr>
        <w:t>耕地、生态、城镇空间管控精细化水平提升，土地节约集约利用效率提高；</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2．</w:t>
      </w:r>
      <w:r>
        <w:rPr>
          <w:rFonts w:ascii="Times New Roman" w:hAnsi="Times New Roman" w:eastAsia="方正仿宋_GBK" w:cs="Times New Roman"/>
          <w:sz w:val="32"/>
          <w:szCs w:val="40"/>
          <w14:ligatures w14:val="none"/>
        </w:rPr>
        <w:t>“十五五”重点项目规划空间保障全面落实，破解项目落地堵点；</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3．</w:t>
      </w:r>
      <w:r>
        <w:rPr>
          <w:rFonts w:ascii="Times New Roman" w:hAnsi="Times New Roman" w:eastAsia="方正仿宋_GBK" w:cs="Times New Roman"/>
          <w:sz w:val="32"/>
          <w:szCs w:val="40"/>
          <w14:ligatures w14:val="none"/>
        </w:rPr>
        <w:t>统筹解决规划实施历史遗留问题，实现多规深度融合；</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4．</w:t>
      </w:r>
      <w:r>
        <w:rPr>
          <w:rFonts w:ascii="Times New Roman" w:hAnsi="Times New Roman" w:eastAsia="方正仿宋_GBK" w:cs="Times New Roman"/>
          <w:sz w:val="32"/>
          <w:szCs w:val="40"/>
          <w14:ligatures w14:val="none"/>
        </w:rPr>
        <w:t>完善文物、洪涝安全管控体系，增强县域发展安全韧性；</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5．</w:t>
      </w:r>
      <w:r>
        <w:rPr>
          <w:rFonts w:ascii="Times New Roman" w:hAnsi="Times New Roman" w:eastAsia="方正仿宋_GBK" w:cs="Times New Roman"/>
          <w:sz w:val="32"/>
          <w:szCs w:val="40"/>
          <w14:ligatures w14:val="none"/>
        </w:rPr>
        <w:t>形成常态化规划动态更新机制，推动国土空间治理现代化。</w:t>
      </w:r>
    </w:p>
    <w:p>
      <w:pPr>
        <w:spacing w:after="0" w:line="620" w:lineRule="exact"/>
        <w:ind w:firstLine="640" w:firstLineChars="200"/>
        <w:jc w:val="both"/>
        <w:rPr>
          <w:rFonts w:ascii="Times New Roman" w:hAnsi="Times New Roman" w:eastAsia="方正黑体_GBK" w:cs="Times New Roman"/>
          <w:sz w:val="32"/>
          <w:szCs w:val="40"/>
          <w14:ligatures w14:val="none"/>
        </w:rPr>
      </w:pPr>
      <w:r>
        <w:rPr>
          <w:rFonts w:ascii="Times New Roman" w:hAnsi="Times New Roman" w:eastAsia="方正黑体_GBK" w:cs="Times New Roman"/>
          <w:sz w:val="32"/>
          <w:szCs w:val="40"/>
          <w14:ligatures w14:val="none"/>
        </w:rPr>
        <w:t>八、下步工作</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1．</w:t>
      </w:r>
      <w:r>
        <w:rPr>
          <w:rFonts w:ascii="Times New Roman" w:hAnsi="Times New Roman" w:eastAsia="方正仿宋_GBK" w:cs="Times New Roman"/>
          <w:sz w:val="32"/>
          <w:szCs w:val="40"/>
          <w14:ligatures w14:val="none"/>
        </w:rPr>
        <w:t>开展草案社会公示，收集吸纳各界合理意见；</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2．</w:t>
      </w:r>
      <w:r>
        <w:rPr>
          <w:rFonts w:ascii="Times New Roman" w:hAnsi="Times New Roman" w:eastAsia="方正仿宋_GBK" w:cs="Times New Roman"/>
          <w:sz w:val="32"/>
          <w:szCs w:val="40"/>
          <w14:ligatures w14:val="none"/>
        </w:rPr>
        <w:t>完成合法性审查、风险评估，报县政府审议；</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3．</w:t>
      </w:r>
      <w:r>
        <w:rPr>
          <w:rFonts w:ascii="Times New Roman" w:hAnsi="Times New Roman" w:eastAsia="方正仿宋_GBK" w:cs="Times New Roman"/>
          <w:sz w:val="32"/>
          <w:szCs w:val="40"/>
          <w14:ligatures w14:val="none"/>
        </w:rPr>
        <w:t>按程序上报上级自然资源部门审核；</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r>
        <w:rPr>
          <w:rFonts w:hint="eastAsia" w:ascii="Times New Roman" w:hAnsi="Times New Roman" w:eastAsia="方正仿宋_GBK" w:cs="Times New Roman"/>
          <w:sz w:val="32"/>
          <w:szCs w:val="40"/>
          <w14:ligatures w14:val="none"/>
        </w:rPr>
        <w:t>4．</w:t>
      </w:r>
      <w:r>
        <w:rPr>
          <w:rFonts w:ascii="Times New Roman" w:hAnsi="Times New Roman" w:eastAsia="方正仿宋_GBK" w:cs="Times New Roman"/>
          <w:sz w:val="32"/>
          <w:szCs w:val="40"/>
          <w14:ligatures w14:val="none"/>
        </w:rPr>
        <w:t>批复后更新规划数据库，指导各乡镇、部门落地执行并常态化监管。</w:t>
      </w: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p>
    <w:p>
      <w:pPr>
        <w:tabs>
          <w:tab w:val="left" w:pos="720"/>
        </w:tabs>
        <w:spacing w:after="0" w:line="620" w:lineRule="exact"/>
        <w:ind w:firstLine="640" w:firstLineChars="200"/>
        <w:jc w:val="both"/>
        <w:rPr>
          <w:rFonts w:ascii="Times New Roman" w:hAnsi="Times New Roman" w:eastAsia="方正仿宋_GBK" w:cs="Times New Roman"/>
          <w:sz w:val="32"/>
          <w:szCs w:val="40"/>
          <w14:ligatures w14:val="none"/>
        </w:rPr>
      </w:pPr>
    </w:p>
    <w:p>
      <w:pPr>
        <w:tabs>
          <w:tab w:val="left" w:pos="720"/>
        </w:tabs>
        <w:spacing w:after="0" w:line="620" w:lineRule="exact"/>
        <w:ind w:firstLine="640" w:firstLineChars="200"/>
        <w:jc w:val="both"/>
        <w:rPr>
          <w:rFonts w:hint="eastAsia" w:ascii="Times New Roman" w:hAnsi="Times New Roman" w:eastAsia="方正仿宋_GBK" w:cs="Times New Roman"/>
          <w:sz w:val="32"/>
          <w:szCs w:val="40"/>
          <w14:ligatures w14:val="none"/>
        </w:rPr>
      </w:pPr>
    </w:p>
    <w:p>
      <w:pPr>
        <w:spacing w:after="0" w:line="560" w:lineRule="exact"/>
        <w:ind w:firstLine="640" w:firstLineChars="200"/>
        <w:jc w:val="center"/>
        <w:rPr>
          <w:rFonts w:hint="eastAsia" w:ascii="Times New Roman" w:hAnsi="Times New Roman" w:eastAsia="仿宋" w:cs="Times New Roman"/>
          <w:sz w:val="32"/>
          <w:szCs w:val="32"/>
          <w14:ligatures w14:val="none"/>
        </w:rPr>
      </w:pPr>
      <w:r>
        <w:rPr>
          <w:rFonts w:hint="eastAsia" w:ascii="Times New Roman" w:hAnsi="Times New Roman" w:eastAsia="仿宋" w:cs="Times New Roman"/>
          <w:sz w:val="32"/>
          <w:szCs w:val="32"/>
          <w14:ligatures w14:val="none"/>
        </w:rPr>
        <w:t xml:space="preserve">                </w:t>
      </w:r>
      <w:r>
        <w:rPr>
          <w:rFonts w:ascii="Times New Roman" w:hAnsi="Times New Roman" w:eastAsia="仿宋" w:cs="Times New Roman"/>
          <w:sz w:val="32"/>
          <w:szCs w:val="32"/>
          <w14:ligatures w14:val="none"/>
        </w:rPr>
        <w:t>莎车县自然资源局</w:t>
      </w:r>
    </w:p>
    <w:p>
      <w:pPr>
        <w:spacing w:after="0" w:line="560" w:lineRule="exact"/>
        <w:ind w:firstLine="640" w:firstLineChars="200"/>
        <w:jc w:val="center"/>
        <w:rPr>
          <w:rFonts w:hint="eastAsia" w:ascii="Times New Roman" w:hAnsi="Times New Roman" w:eastAsia="仿宋" w:cs="Times New Roman"/>
          <w:sz w:val="32"/>
          <w:szCs w:val="32"/>
          <w14:ligatures w14:val="none"/>
        </w:rPr>
      </w:pPr>
      <w:r>
        <w:rPr>
          <w:rFonts w:hint="eastAsia" w:ascii="Times New Roman" w:hAnsi="Times New Roman" w:eastAsia="仿宋" w:cs="Times New Roman"/>
          <w:sz w:val="32"/>
          <w:szCs w:val="32"/>
          <w14:ligatures w14:val="none"/>
        </w:rPr>
        <w:t xml:space="preserve">                 </w:t>
      </w:r>
      <w:r>
        <w:rPr>
          <w:rFonts w:ascii="Times New Roman" w:hAnsi="Times New Roman" w:eastAsia="仿宋" w:cs="Times New Roman"/>
          <w:sz w:val="32"/>
          <w:szCs w:val="32"/>
          <w14:ligatures w14:val="none"/>
        </w:rPr>
        <w:t>2026年8月</w:t>
      </w:r>
    </w:p>
    <w:p>
      <w:pPr>
        <w:spacing w:line="560" w:lineRule="exact"/>
        <w:ind w:firstLine="200"/>
        <w:jc w:val="cente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EB"/>
    <w:rsid w:val="001E69F1"/>
    <w:rsid w:val="002B6A76"/>
    <w:rsid w:val="00470052"/>
    <w:rsid w:val="008A45EB"/>
    <w:rsid w:val="008E3915"/>
    <w:rsid w:val="0AF05460"/>
    <w:rsid w:val="49E949FA"/>
    <w:rsid w:val="54C96BC3"/>
    <w:rsid w:val="66A443BC"/>
    <w:rsid w:val="6C732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qFormat/>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276</Words>
  <Characters>1577</Characters>
  <Lines>13</Lines>
  <Paragraphs>3</Paragraphs>
  <TotalTime>13</TotalTime>
  <ScaleCrop>false</ScaleCrop>
  <LinksUpToDate>false</LinksUpToDate>
  <CharactersWithSpaces>1850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2026-08-13T12:34:00Z</dcterms:created>
  <dc:creator>赵大王</dc:creator>
  <cp:lastModifiedBy>Sunshine</cp:lastModifiedBy>
  <dcterms:modified xsi:type="dcterms:W3CDTF">2026-08-13T13:39:17Z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