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80" w:lineRule="auto"/>
        <w:jc w:val="center"/>
        <w:rPr>
          <w:rFonts w:ascii="微软雅黑" w:hAnsi="微软雅黑" w:eastAsia="微软雅黑" w:cs="宋体"/>
          <w:color w:val="000000"/>
          <w:kern w:val="0"/>
          <w:sz w:val="28"/>
          <w:szCs w:val="28"/>
        </w:rPr>
      </w:pPr>
      <w:bookmarkStart w:id="0" w:name="_GoBack"/>
      <w:r>
        <w:rPr>
          <w:rFonts w:hint="eastAsia" w:ascii="微软雅黑" w:hAnsi="微软雅黑" w:eastAsia="微软雅黑" w:cs="宋体"/>
          <w:b/>
          <w:bCs/>
          <w:color w:val="000000"/>
          <w:kern w:val="0"/>
          <w:sz w:val="32"/>
          <w:szCs w:val="28"/>
        </w:rPr>
        <w:t>莎车县国土空间总体规划2026年度动态维护方案</w:t>
      </w:r>
      <w:r>
        <w:rPr>
          <w:rFonts w:hint="eastAsia" w:ascii="微软雅黑" w:hAnsi="微软雅黑" w:eastAsia="微软雅黑" w:cs="宋体"/>
          <w:b/>
          <w:bCs/>
          <w:color w:val="000000"/>
          <w:kern w:val="0"/>
          <w:sz w:val="28"/>
          <w:szCs w:val="28"/>
        </w:rPr>
        <w:t>（草案）</w:t>
      </w:r>
    </w:p>
    <w:bookmarkEnd w:id="0"/>
    <w:p>
      <w:pPr>
        <w:widowControl/>
        <w:shd w:val="clear" w:color="auto" w:fill="FFFFFF"/>
        <w:spacing w:line="480" w:lineRule="auto"/>
        <w:ind w:firstLine="480"/>
        <w:jc w:val="left"/>
        <w:rPr>
          <w:rFonts w:ascii="微软雅黑" w:hAnsi="微软雅黑" w:eastAsia="微软雅黑" w:cs="宋体"/>
          <w:b/>
          <w:color w:val="000000"/>
          <w:kern w:val="0"/>
          <w:sz w:val="28"/>
          <w:szCs w:val="28"/>
        </w:rPr>
      </w:pPr>
      <w:r>
        <w:rPr>
          <w:rFonts w:hint="eastAsia" w:ascii="微软雅黑" w:hAnsi="微软雅黑" w:eastAsia="微软雅黑" w:cs="宋体"/>
          <w:b/>
          <w:color w:val="000000"/>
          <w:kern w:val="0"/>
          <w:sz w:val="28"/>
          <w:szCs w:val="28"/>
        </w:rPr>
        <w:t>一、前言</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（一）编制背景</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为深入贯彻党的二十届四中全会精神，落实自治区“十五五”规划各项目标任务，在国土空间规划中充分体现“十五五”规划指导方针和目标任务要求，全面统筹莎车县各相关领域“十五五”重点项目空间需求，根据自然资源部关于开展国土空间总体规划动态调整完善的有关要求、《关于开展全区国土空间总体规划动态调整完善工作的通知》（新自然资办发〔</w:t>
      </w:r>
      <w:r>
        <w:rPr>
          <w:rFonts w:ascii="微软雅黑" w:hAnsi="微软雅黑" w:eastAsia="微软雅黑" w:cs="宋体"/>
          <w:color w:val="000000"/>
          <w:kern w:val="0"/>
          <w:sz w:val="28"/>
          <w:szCs w:val="28"/>
        </w:rPr>
        <w:t>2026〕13号），基于同期开展的国土空间规划体检评估结果，开展《莎车县国土空间总体规划2026年度动态维护方案》编制工作。</w:t>
      </w:r>
      <w:r>
        <w:rPr>
          <w:rFonts w:hint="eastAsia" w:ascii="微软雅黑" w:hAnsi="微软雅黑" w:eastAsia="微软雅黑" w:cs="宋体"/>
          <w:color w:val="000000"/>
          <w:kern w:val="0"/>
          <w:sz w:val="28"/>
          <w:szCs w:val="28"/>
        </w:rPr>
        <w:t>本次工作旨在推动规划从静态蓝图向动态实施转变，为城市近期发展与重大项目落地提供精准、可靠的空间支撑。</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（二）编制目的</w:t>
      </w:r>
    </w:p>
    <w:p>
      <w:pPr>
        <w:pStyle w:val="8"/>
        <w:widowControl/>
        <w:numPr>
          <w:ilvl w:val="0"/>
          <w:numId w:val="1"/>
        </w:numPr>
        <w:shd w:val="clear" w:color="auto" w:fill="FFFFFF"/>
        <w:spacing w:line="480" w:lineRule="auto"/>
        <w:ind w:left="0" w:firstLine="480" w:firstLineChars="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提升规划的适应性。立足莎车县实际发展状况，主动靠前服务，及时将“十五五”国民经济和社会发展规划的新部署、近期重大项目的空间诉求，以及产业升级、民生改善、安全韧性等新需求，精准传导至国土空间规划“一张图”，为莎车县高质量发展提供有力的空间要素支撑。</w:t>
      </w:r>
    </w:p>
    <w:p>
      <w:pPr>
        <w:pStyle w:val="8"/>
        <w:widowControl/>
        <w:numPr>
          <w:ilvl w:val="0"/>
          <w:numId w:val="1"/>
        </w:numPr>
        <w:shd w:val="clear" w:color="auto" w:fill="FFFFFF"/>
        <w:spacing w:line="480" w:lineRule="auto"/>
        <w:ind w:left="0" w:firstLine="480" w:firstLineChars="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提升规划的精准性。立足体检评估问题，科学识别规划实施与实际运行之间的偏差，精准对接“十五五”发展需求，统筹开展三条控制线等空间管控边界、重点建设项目清单、规划分区、中心城区用地布局等正向优化调整，确保重大战略、重点项目和民生工程精准落地，有效化解历史遗留问题，提升空间资源配置的精准度。</w:t>
      </w:r>
    </w:p>
    <w:p>
      <w:pPr>
        <w:pStyle w:val="8"/>
        <w:widowControl/>
        <w:numPr>
          <w:ilvl w:val="0"/>
          <w:numId w:val="1"/>
        </w:numPr>
        <w:shd w:val="clear" w:color="auto" w:fill="FFFFFF"/>
        <w:spacing w:line="480" w:lineRule="auto"/>
        <w:ind w:left="0" w:firstLine="480" w:firstLineChars="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提升规划的可操作性。构建“体检</w:t>
      </w:r>
      <w:r>
        <w:rPr>
          <w:rFonts w:ascii="微软雅黑" w:hAnsi="微软雅黑" w:eastAsia="微软雅黑" w:cs="宋体"/>
          <w:color w:val="000000"/>
          <w:kern w:val="0"/>
          <w:sz w:val="28"/>
          <w:szCs w:val="28"/>
        </w:rPr>
        <w:t>-反馈-优化”的全周期闭环管理机制，在保障规划法定权威性的同时，赋予其应对客观条件变化的必要弹性，推动规划管理从静态蓝图向现代化动态治理转变。</w:t>
      </w:r>
    </w:p>
    <w:p>
      <w:pPr>
        <w:widowControl/>
        <w:shd w:val="clear" w:color="auto" w:fill="FFFFFF"/>
        <w:spacing w:line="480" w:lineRule="auto"/>
        <w:ind w:firstLine="480"/>
        <w:jc w:val="left"/>
        <w:rPr>
          <w:rFonts w:hint="eastAsia" w:ascii="微软雅黑" w:hAnsi="微软雅黑" w:eastAsia="微软雅黑" w:cs="宋体"/>
          <w:color w:val="000000"/>
          <w:kern w:val="0"/>
          <w:sz w:val="28"/>
          <w:szCs w:val="28"/>
        </w:rPr>
      </w:pPr>
    </w:p>
    <w:p>
      <w:pPr>
        <w:widowControl/>
        <w:shd w:val="clear" w:color="auto" w:fill="FFFFFF"/>
        <w:spacing w:line="480" w:lineRule="auto"/>
        <w:ind w:firstLine="480"/>
        <w:jc w:val="left"/>
        <w:rPr>
          <w:rFonts w:ascii="微软雅黑" w:hAnsi="微软雅黑" w:eastAsia="微软雅黑" w:cs="宋体"/>
          <w:b/>
          <w:color w:val="000000"/>
          <w:kern w:val="0"/>
          <w:sz w:val="28"/>
          <w:szCs w:val="28"/>
        </w:rPr>
      </w:pPr>
      <w:r>
        <w:rPr>
          <w:rFonts w:hint="eastAsia" w:ascii="微软雅黑" w:hAnsi="微软雅黑" w:eastAsia="微软雅黑" w:cs="宋体"/>
          <w:b/>
          <w:color w:val="000000"/>
          <w:kern w:val="0"/>
          <w:sz w:val="28"/>
          <w:szCs w:val="28"/>
        </w:rPr>
        <w:t>二、动态维护主要内容</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（一）空间管控边界维护</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（1）耕地与永久基本农田</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严格落实已批复《莎车县国土空间总体规划（2021—2035年）》划定的永久基本农田保护任务开展本次优化调整工作，保障耕地保护规模稳中有升。调整后地块平均坡度保持不变，永久基本农田整体集中连片度显著提升，图斑边界形态更加规整，区域内耕地整体质量稳步改善。此次调整进一步优化了全市永久基本农田空间布局，提升了永久基本农田保护质量与管控效能，最终永久基本农田调整成果结合下发的耕地保护和国土绿化空间专项规划成果全面完善。</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（2）生态保护红线</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严格落实批复的《莎车县国土空间总体规划（</w:t>
      </w:r>
      <w:r>
        <w:rPr>
          <w:rFonts w:ascii="微软雅黑" w:hAnsi="微软雅黑" w:eastAsia="微软雅黑" w:cs="宋体"/>
          <w:color w:val="000000"/>
          <w:kern w:val="0"/>
          <w:sz w:val="28"/>
          <w:szCs w:val="28"/>
        </w:rPr>
        <w:t>2021—2035年）》生态保护红线，本次不对生态保护红线进行调整。</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（3）城镇开发边界</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在不突破县域城镇开发边界扩展倍数和城镇建设用地规模的前提下，按照国土空间总体规划明确的发展定位和城镇空间格局，持续优化城市功能布局和空间结构。依托原城镇开发边界开展局部优化，确保城镇开发边界尽可能完整。</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调出方案：本次优化调整结合区域近期建设计划，对暂无开发建设需求的地块予以调出。本次所有调出地块均不涉及现状保留城镇建成区、已审批落地的城镇建设用地，调出范围合规可控，不影响现有城镇建设格局。</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调入方案：调入地块衔接“十五五”规划，保障近期建设项目用地需求。经严格合规性核查，本次所有拟调入图斑不涉及永久基本农田，不占用风景名胜区、饮用水水源保护区等各类生态敏感区域，不会对区域生态安全格局及永久基本农田保护工作造成不利影响。</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优化结果：本次调整有效规整了城镇开发边界形态，强化了区域功能板块的衔接融合，进一步提升了国土空间集约节约利用水平，为城乡融合高质量发展提供了更优质的空间支撑，后续城镇开发边界优化成果结合指标情况整体统筹。</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（4）</w:t>
      </w:r>
      <w:r>
        <w:rPr>
          <w:rFonts w:ascii="微软雅黑" w:hAnsi="微软雅黑" w:eastAsia="微软雅黑" w:cs="宋体"/>
          <w:color w:val="000000"/>
          <w:kern w:val="0"/>
          <w:sz w:val="28"/>
          <w:szCs w:val="28"/>
        </w:rPr>
        <w:t>历史文化保护线</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衔接第四次全国文物普查正式成果，本次动态维护方案将新划定的</w:t>
      </w:r>
      <w:r>
        <w:rPr>
          <w:rFonts w:ascii="微软雅黑" w:hAnsi="微软雅黑" w:eastAsia="微软雅黑" w:cs="宋体"/>
          <w:color w:val="000000"/>
          <w:kern w:val="0"/>
          <w:sz w:val="28"/>
          <w:szCs w:val="28"/>
        </w:rPr>
        <w:t>文物保护单位的两线范围纳入历史文化保护线。</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w:t>
      </w:r>
      <w:r>
        <w:rPr>
          <w:rFonts w:ascii="微软雅黑" w:hAnsi="微软雅黑" w:eastAsia="微软雅黑" w:cs="宋体"/>
          <w:color w:val="000000"/>
          <w:kern w:val="0"/>
          <w:sz w:val="28"/>
          <w:szCs w:val="28"/>
        </w:rPr>
        <w:t>5）</w:t>
      </w:r>
      <w:r>
        <w:rPr>
          <w:rFonts w:hint="eastAsia" w:ascii="微软雅黑" w:hAnsi="微软雅黑" w:eastAsia="微软雅黑" w:cs="宋体"/>
          <w:color w:val="000000"/>
          <w:kern w:val="0"/>
          <w:sz w:val="28"/>
          <w:szCs w:val="28"/>
        </w:rPr>
        <w:t>洪涝风险控制线</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本次动态维护仍保持原规划中洪涝风险控制线等空间管控边界要求，不做调整。</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（二）规划分区维护</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现行国土空间总体规划立足全域国土空间保护与开发统筹发展，以主体功能区规划为核心依据，在市域范围内科学划分六大功能分区，分别为农田保护区、乡村发展区、生态保护区、生态控制区、城镇发展区及矿产能源发展区。规划明确各分区管控规则，精准引导国土空间用途结构优化调整，规范全域开发保护秩序。</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本次工作结合耕地和永久基本农田、城镇开发边界正向优化成果和中心城区用地用海规划布局正向优化调整，联动调整规划分区，符合细则规定的允许调整规划分区的情形，确保各分区主导功能稳定、空间布局集中连片、整体格局完整联通。</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（三）中心城区用地用海规划布局维护</w:t>
      </w:r>
    </w:p>
    <w:p>
      <w:pPr>
        <w:widowControl/>
        <w:shd w:val="clear" w:color="auto" w:fill="FFFFFF"/>
        <w:spacing w:line="480" w:lineRule="auto"/>
        <w:ind w:firstLine="480"/>
        <w:jc w:val="left"/>
        <w:rPr>
          <w:rFonts w:ascii="微软雅黑" w:hAnsi="微软雅黑" w:eastAsia="微软雅黑" w:cs="宋体"/>
          <w:kern w:val="0"/>
          <w:sz w:val="28"/>
          <w:szCs w:val="28"/>
        </w:rPr>
      </w:pPr>
      <w:r>
        <w:rPr>
          <w:rFonts w:hint="eastAsia" w:ascii="微软雅黑" w:hAnsi="微软雅黑" w:eastAsia="微软雅黑" w:cs="宋体"/>
          <w:kern w:val="0"/>
          <w:sz w:val="28"/>
          <w:szCs w:val="28"/>
        </w:rPr>
        <w:t>本次工作依据已批复的详细规划单元成果进行维护，符合允许中心城区用地用海规划布局调整的情形四：已批复或经专家论证的国土空间详细规划用地布局与总体规划不一致的，可以根据实际情况进行调整。用地调整涉及居住、公共管理服务、商业服务、工矿仓储、交通运输、公用设施、绿地开敞空间等用地类型。中心城区总体空间结构和组团功能布局维持原规划基本不变，经优化调整，进一步深化空间结构，分级完善多级服务核心布局，细化各功能组团的发展定位和主导业态。</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（四）重点建设项目清单维护</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本次动态维护工作对接莎车县“十五五”规划布局和重点项目实施需求，保障2026年度建设项目及“十五五”规划重点建设项目落地实施。动态维护方案按能源矿产、交通、水利等类别开展分类梳理，明确各项目名称、项目类别、立项依据、建设性质、建设年限、用地规模及维护情形等核心信息。结合项目实施推进实际情况，采取“精准落位+示意上图+增补清单”相结合的管控方式，强化重大项目空间保障。</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（五）城市重要控制线维护</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本次工作依据近期重点项目实施深化细化的需求进行维护，在满足国土空间总体规划确定城市绿线、城市黄线、城市蓝线等服务规模和范围要求前提下，结合已批复的详细规划单元成果、用地权属修正，正向优化城市绿线、城市黄线、城市蓝线等重要控制线边界。</w:t>
      </w:r>
    </w:p>
    <w:p>
      <w:pPr>
        <w:widowControl/>
        <w:shd w:val="clear" w:color="auto" w:fill="FFFFFF"/>
        <w:spacing w:line="480" w:lineRule="auto"/>
        <w:ind w:firstLine="480"/>
        <w:jc w:val="left"/>
        <w:rPr>
          <w:rFonts w:hint="eastAsia" w:ascii="微软雅黑" w:hAnsi="微软雅黑" w:eastAsia="微软雅黑" w:cs="宋体"/>
          <w:color w:val="000000"/>
          <w:kern w:val="0"/>
          <w:sz w:val="28"/>
          <w:szCs w:val="28"/>
        </w:rPr>
      </w:pPr>
    </w:p>
    <w:p>
      <w:pPr>
        <w:widowControl/>
        <w:shd w:val="clear" w:color="auto" w:fill="FFFFFF"/>
        <w:spacing w:line="480" w:lineRule="auto"/>
        <w:ind w:firstLine="480"/>
        <w:jc w:val="left"/>
        <w:rPr>
          <w:rFonts w:ascii="微软雅黑" w:hAnsi="微软雅黑" w:eastAsia="微软雅黑" w:cs="宋体"/>
          <w:b/>
          <w:color w:val="000000"/>
          <w:kern w:val="0"/>
          <w:sz w:val="28"/>
          <w:szCs w:val="28"/>
        </w:rPr>
      </w:pPr>
      <w:r>
        <w:rPr>
          <w:rFonts w:hint="eastAsia" w:ascii="微软雅黑" w:hAnsi="微软雅黑" w:eastAsia="微软雅黑" w:cs="宋体"/>
          <w:b/>
          <w:color w:val="000000"/>
          <w:kern w:val="0"/>
          <w:sz w:val="28"/>
          <w:szCs w:val="28"/>
        </w:rPr>
        <w:t>三、实施保障</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为保障方案有效实施，及时将调整后的耕地和永久基本农田保护红线、城镇开发边界、规划分区、中心城区用地用海规划布局、重点建设项目清单和城市重要控制线在乡镇国土空间总体规划、城镇单元详细规划、村庄规划和各行业部门专项规划中予以落实，确保重大建设项目建设用地报批符合规划，加强对各类重点项目详细设计的规划指引。</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加强实施监管，将动态维护方案内容的执行情况纳入国土空间监测。依托国土空间规划“一张图”系统和国土空间规划实施监测网络，对动态维护方案编制、汇交、审查、实施等工作进行全生命周期管理。</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（注：本次公示内容为草案，最终以审批成果为准）</w:t>
      </w:r>
    </w:p>
    <w:p>
      <w:pPr>
        <w:widowControl/>
        <w:shd w:val="clear" w:color="auto" w:fill="FFFFFF"/>
        <w:spacing w:line="480" w:lineRule="auto"/>
        <w:ind w:firstLine="480"/>
        <w:jc w:val="left"/>
        <w:rPr>
          <w:rFonts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附图：</w:t>
      </w:r>
    </w:p>
    <w:p/>
    <w:p/>
    <w:p>
      <w:pPr>
        <w:sectPr>
          <w:pgSz w:w="11907" w:h="16840"/>
          <w:pgMar w:top="1440" w:right="1800" w:bottom="1440" w:left="1800" w:header="851" w:footer="992" w:gutter="0"/>
          <w:cols w:space="425" w:num="1"/>
          <w:docGrid w:type="lines" w:linePitch="381" w:charSpace="0"/>
        </w:sectPr>
      </w:pPr>
    </w:p>
    <w:p>
      <w:r>
        <w:drawing>
          <wp:inline distT="0" distB="0" distL="0" distR="0">
            <wp:extent cx="5274945" cy="7456805"/>
            <wp:effectExtent l="0" t="0" r="1905" b="0"/>
            <wp:docPr id="3" name="图片 3" descr="E:\202603莎车国空总规动态维护\02-阶段成果\20260807-递交局成果\653125莎车县2026年度规划动态维护管理数据20260807\1规划动态维护方案\图集\01三条控制线维护前图_t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202603莎车国空总规动态维护\02-阶段成果\20260807-递交局成果\653125莎车县2026年度规划动态维护管理数据20260807\1规划动态维护方案\图集\01三条控制线维护前图_tk.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274945" cy="7457377"/>
                    </a:xfrm>
                    <a:prstGeom prst="rect">
                      <a:avLst/>
                    </a:prstGeom>
                    <a:noFill/>
                    <a:ln>
                      <a:noFill/>
                    </a:ln>
                  </pic:spPr>
                </pic:pic>
              </a:graphicData>
            </a:graphic>
          </wp:inline>
        </w:drawing>
      </w:r>
    </w:p>
    <w:p/>
    <w:p/>
    <w:p>
      <w:r>
        <w:drawing>
          <wp:inline distT="0" distB="0" distL="0" distR="0">
            <wp:extent cx="5274945" cy="7456805"/>
            <wp:effectExtent l="0" t="0" r="1905" b="0"/>
            <wp:docPr id="4" name="图片 4" descr="E:\202603莎车国空总规动态维护\02-阶段成果\20260807-递交局成果\653125莎车县2026年度规划动态维护管理数据20260807\1规划动态维护方案\图集\02三条控制线维护后图_t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202603莎车国空总规动态维护\02-阶段成果\20260807-递交局成果\653125莎车县2026年度规划动态维护管理数据20260807\1规划动态维护方案\图集\02三条控制线维护后图_tk.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274945" cy="7457377"/>
                    </a:xfrm>
                    <a:prstGeom prst="rect">
                      <a:avLst/>
                    </a:prstGeom>
                    <a:noFill/>
                    <a:ln>
                      <a:noFill/>
                    </a:ln>
                  </pic:spPr>
                </pic:pic>
              </a:graphicData>
            </a:graphic>
          </wp:inline>
        </w:drawing>
      </w:r>
    </w:p>
    <w:p/>
    <w:p/>
    <w:p/>
    <w:p>
      <w:pPr>
        <w:rPr>
          <w:rFonts w:hint="eastAsia"/>
        </w:rPr>
      </w:pPr>
    </w:p>
    <w:sectPr>
      <w:pgSz w:w="11907" w:h="16840"/>
      <w:pgMar w:top="1440" w:right="1800" w:bottom="1440" w:left="1800"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5F2D6F"/>
    <w:multiLevelType w:val="multilevel"/>
    <w:tmpl w:val="695F2D6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94E"/>
    <w:rsid w:val="00005AF4"/>
    <w:rsid w:val="00036638"/>
    <w:rsid w:val="000431DB"/>
    <w:rsid w:val="00090649"/>
    <w:rsid w:val="000C27EC"/>
    <w:rsid w:val="0013294E"/>
    <w:rsid w:val="001A2F7A"/>
    <w:rsid w:val="001F64A2"/>
    <w:rsid w:val="00233E51"/>
    <w:rsid w:val="002359F5"/>
    <w:rsid w:val="00283BF4"/>
    <w:rsid w:val="0029078F"/>
    <w:rsid w:val="0031589E"/>
    <w:rsid w:val="00330CF1"/>
    <w:rsid w:val="003A69FC"/>
    <w:rsid w:val="0040551B"/>
    <w:rsid w:val="0042090D"/>
    <w:rsid w:val="0043471F"/>
    <w:rsid w:val="00441CF5"/>
    <w:rsid w:val="004869D5"/>
    <w:rsid w:val="004A5A4B"/>
    <w:rsid w:val="00524101"/>
    <w:rsid w:val="005738D8"/>
    <w:rsid w:val="005D368B"/>
    <w:rsid w:val="00605C0A"/>
    <w:rsid w:val="00626B06"/>
    <w:rsid w:val="00631E49"/>
    <w:rsid w:val="00656F8D"/>
    <w:rsid w:val="006B04D6"/>
    <w:rsid w:val="006B3B90"/>
    <w:rsid w:val="00706C1D"/>
    <w:rsid w:val="007267B9"/>
    <w:rsid w:val="0074070A"/>
    <w:rsid w:val="007631B9"/>
    <w:rsid w:val="007B0D46"/>
    <w:rsid w:val="007B3D15"/>
    <w:rsid w:val="008043BC"/>
    <w:rsid w:val="00805CF5"/>
    <w:rsid w:val="00846A77"/>
    <w:rsid w:val="00861431"/>
    <w:rsid w:val="008E02E9"/>
    <w:rsid w:val="009021D4"/>
    <w:rsid w:val="00944B65"/>
    <w:rsid w:val="00980544"/>
    <w:rsid w:val="00992D5D"/>
    <w:rsid w:val="009A707E"/>
    <w:rsid w:val="009E2D36"/>
    <w:rsid w:val="00A01FC1"/>
    <w:rsid w:val="00A24137"/>
    <w:rsid w:val="00A340B1"/>
    <w:rsid w:val="00A51C64"/>
    <w:rsid w:val="00AD5D6E"/>
    <w:rsid w:val="00AD6F34"/>
    <w:rsid w:val="00B17E5E"/>
    <w:rsid w:val="00B27EFF"/>
    <w:rsid w:val="00B30F70"/>
    <w:rsid w:val="00B50F73"/>
    <w:rsid w:val="00B56CDB"/>
    <w:rsid w:val="00B57818"/>
    <w:rsid w:val="00BC7E58"/>
    <w:rsid w:val="00C2394F"/>
    <w:rsid w:val="00C30E49"/>
    <w:rsid w:val="00C37077"/>
    <w:rsid w:val="00C70EEF"/>
    <w:rsid w:val="00C74C9F"/>
    <w:rsid w:val="00CA5B3C"/>
    <w:rsid w:val="00CC72D2"/>
    <w:rsid w:val="00CD2722"/>
    <w:rsid w:val="00CF0E3A"/>
    <w:rsid w:val="00DE379A"/>
    <w:rsid w:val="00E06D09"/>
    <w:rsid w:val="00E30D8A"/>
    <w:rsid w:val="00E5415B"/>
    <w:rsid w:val="00EA18C8"/>
    <w:rsid w:val="00ED6730"/>
    <w:rsid w:val="00F6150A"/>
    <w:rsid w:val="00F91854"/>
    <w:rsid w:val="00FB566F"/>
    <w:rsid w:val="00FD0FE2"/>
    <w:rsid w:val="19585DFA"/>
    <w:rsid w:val="3F037CE0"/>
    <w:rsid w:val="4B9A410B"/>
    <w:rsid w:val="5C5A3793"/>
    <w:rsid w:val="7B7D5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7">
    <w:name w:val="标题 1 字符"/>
    <w:basedOn w:val="5"/>
    <w:link w:val="2"/>
    <w:uiPriority w:val="9"/>
    <w:rPr>
      <w:rFonts w:ascii="宋体" w:hAnsi="宋体" w:eastAsia="宋体" w:cs="宋体"/>
      <w:b/>
      <w:bCs/>
      <w:kern w:val="36"/>
      <w:sz w:val="48"/>
      <w:szCs w:val="4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682CD-64D4-4173-BB37-3CC02F3C400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351</Words>
  <Characters>377</Characters>
  <Lines>21</Lines>
  <Paragraphs>6</Paragraphs>
  <TotalTime>100</TotalTime>
  <ScaleCrop>false</ScaleCrop>
  <LinksUpToDate>false</LinksUpToDate>
  <CharactersWithSpaces>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2026-08-13T01:32:00Z</dcterms:created>
  <dc:creator>Admin</dc:creator>
  <cp:lastModifiedBy>Sunshine</cp:lastModifiedBy>
  <dcterms:modified xsi:type="dcterms:W3CDTF">2026-08-13T13:43:21Z</dcterms:modified>
  <cp:revision>308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eyJoZGlkIjoiOGY2YzQ4ZmI1ZGQ3OTYzNzE0NGFhNDlkNDBkNzIzMTIiLCJ1c2VySWQiOiI0OTkyNDI0MzAifQ==</vt:lpwstr>
  </property>
  <property fmtid="{D5CDD505-2E9C-101B-9397-08002B2CF9AE}" pid="3" name="KSOProductBuildVer">
    <vt:lpwstr>2052-11.8.2.10393</vt:lpwstr>
  </property>
  <property fmtid="{D5CDD505-2E9C-101B-9397-08002B2CF9AE}" pid="4" name="ICV">
    <vt:lpwstr>83591E2B9E514964A6BDC71549A96D85_13</vt:lpwstr>
  </property>
</Properties>
</file>