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_GBK" w:cs="Times New Roman"/>
          <w:kern w:val="0"/>
          <w:sz w:val="40"/>
          <w:szCs w:val="40"/>
          <w:lang w:val="en-US" w:eastAsia="zh-CN"/>
        </w:rPr>
        <w:t>莎车县2025年1-5月经济运行分析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640" w:firstLineChars="200"/>
        <w:textAlignment w:val="auto"/>
        <w:rPr>
          <w:rFonts w:hint="eastAsia" w:ascii="Times New Roman" w:hAnsi="Times New Roman" w:eastAsia="方正黑体简体" w:cs="方正黑体简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1-5月，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一般公共财政预算收入、外贸进出口总额、旅游人数、旅游收入等经济指标实现两位数增长，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规上工业增加值、固定资产投资、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限额以上社会消费品零售总额经济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增长支撑要素活力不足。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left="638" w:leftChars="304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一、1-5月主要经济指标完成情况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——全县规模以上工业企业完成增加值42470万元，同比增长7.8%。(＊)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——固定资产投资额完成189224万元，同比下降28.4%。(＊)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——限额以上社会消费品零售总额22122万元，同比下降25.7%。(＊)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——一般公共财政预算收入42612万元，同比增长12.1%。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——一般公共财政预算支出425403万元，同比下降10.01%。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——外贸进出口总额3094.12万美元，同比增长30%。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——全县旅游人数496.41万人次，同比增长20.48%；旅游收入13.46亿元，同比增长45.04%。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——航空旅客吞吐量18.8695万人次，同比增长29.79%；航空货邮吞吐量311.571吨，同比减少33.45%。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——城镇新增就业人数6162人，完成全年目标任务的47.4%；农村富余劳动力转移就业人数108629人次，完成全年目标任务的56.87%。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——全社会用电量86152万千瓦小时，同比增长9.47%；其中：工商业用电量40153万千瓦小时，同比增长10.26%。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备注：带＊号指标为统计部门统计数据，其他指标均为行业部门数据。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20" w:lineRule="exact"/>
        <w:ind w:left="0" w:leftChars="0" w:right="0" w:firstLine="643" w:firstLineChars="200"/>
        <w:jc w:val="both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二、经济运行主要特点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643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val="en-US" w:eastAsia="zh-CN"/>
        </w:rPr>
        <w:t>规上工业增长持续放缓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1-5月，莎车县规模以上工业完成增加值42470万元，同比增长7.8%（可比价）；5月当月规上工业增加值10596万，环比增长7.84%（可比价），同比增长3.34%（可比价）；增速较去年同期（24.8%）下降 17个百分点，较1-4月（10.15%）下降 2.35 个百分点。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>三大门类一增一降一平，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其中电力、热力、燃气及水生产和供应业14家27005万，占全部规上工业的63.6%，增加值同比下降0.87%，拉动规上工业增加值0.21个百分点，贡献率2.8%；制造业34家15465万，占全部规上工业的36.4%，增加值同比增长26.35%，拉动规上工业增加值增速7.3个百分点，对规模以上工业增加值贡献率97.2%；采矿业暂无规模以上工业企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  <w:lang w:val="en-US" w:eastAsia="zh-CN"/>
        </w:rPr>
        <w:t>重点行业拉动增长。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增加值占比前10的重点行业“七增三降”，完成增加值31642万元，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占全部规上工业的98.3%，拉动规上工业增加值12.13个百分点。其中：电力、热力生产和供应业同比增长3.07%，纺织业同比增长54.37%，水的生产和供应业同比增长37.21%，农副食品加工业同比下降1.75%，文教、工美、体育和娱乐用品制同比上升8.62%，食品制造业同比上升464.11%，纺织服装、服饰业同比增长76.25%，非金属矿物制品业同比下降6.53%，燃气生产和供应业同比下降18.64%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highlight w:val="none"/>
          <w:lang w:val="en-US" w:eastAsia="zh-CN" w:bidi="ar-SA"/>
        </w:rPr>
        <w:t>规上工业产品产量实现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  <w:lang w:val="en-US" w:eastAsia="zh-CN"/>
        </w:rPr>
        <w:t>增长。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lang w:val="en-US" w:eastAsia="zh-CN"/>
        </w:rPr>
        <w:t>全县生产的12种主要工业产品有9种产品产量增长，增长面为75%。其中：家具6527件，增长1204倍；棉纱40644吨，增长68.3%；自来水生产量1633万立方米，增长59.5%；服装5.73万件，增长36.4%；商品混凝土137879.34立方米，增长27.3%；小麦粉253685吨，增长21.8%；硅酸盐水泥熟料123923吨，增长18.7%；发电量197174.52万千瓦时，增长11.5%；鲜、冷藏肉459.452吨，增长6%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643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val="en-US" w:eastAsia="zh-CN"/>
        </w:rPr>
        <w:t>固定资产投资持续下降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1-5月，全县完成固定资产投资额189224万元，同比下降28.4%。其中，固定资产投资项目完成185631万元，同比下降25.1%，房地产开发项目完成投资3593万元，同比下降77.9%。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固定投资项目119个，同比下降28.7%。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分产业看 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第一产业完成投资9724万元，占全部投资的5.1%，同比下降80.4%；第二产业完成投资122859万元，占全部投资的65%，同比增长18%；第三产业完成投资52546万元，占全部投资的27.8%，同比下降84.9%。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 xml:space="preserve">设备购置投资拉动增长 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设备购置完成投资65381万元，占投资总额的34.6%，同比增长164.4%；建安完成投资112950万元，占投资总额的59.6%，同比下降46.2%。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房地产投资持续下行 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房地产完成投资3593万元，占投资总额的1.9%，同比下降77.9%。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val="en-US" w:eastAsia="zh-CN"/>
        </w:rPr>
        <w:t>消费市场持续负增长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1-5月，限额以上社会消费品零售总额累计实现22121.9万元，同比下降25.7%，其中：商品零售额实现18102.5万元，同比下降28.9%，餐饮收入为4019.4万元，同比下降6.8%。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 xml:space="preserve">按构成类型分 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限上批发业完成商品销售额87657.9万元，同比下降48.9%；零售业完成商品销售额17520.8万元，同比下降36.8%；住宿业完成营业额2028.9万元，同比增长8.4%；餐饮业完成营业额3710万元，同比下降13.6%。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生活必需品类消费承压运行。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限额以上零售业11类重要商品中6类呈负增长，这6类分别是粮油食品类下降49.1%、饮料类下降57.5%、服装鞋帽针纺织品类下降21.5%、金银珠宝类下降54.4%、日用品类下降41.9%，其他未列明商品类下降39.4%。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消费升级类商品零售较快增长，文化办公用品类增长80.9%；家用电器和音像器材类、汽车类零售额均呈两位数增长，在以旧换新政策的刺激下其分别增长24.5%和18.9%；中西药品类增长明显，零售额增长72.3%；烟酒类小幅增长1.5%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(四)财政收入平稳增长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1-5月，一般公共预算收入 42612万元，同比增长12.1%，其中：税收收入18372万元，占一般公共预算收入的43.11%，同比下降0.4%；非税收入24240万元，同比增长23.8%。一般公共预算支出425403万元，同比下降 10.01%。其中：一般公共服务支出45645万元，同比下降17.68%， 教育支出199896万元，同比增长8.27%，文化体育与传媒支出25678万元，同比增长824.68%，农林水事务支出48759万元，同比下降32.18%。政府性基金预算收入8902万元，同比增长128.1%。政府性基金支出16390万元，同比增长17.63%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643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(五)旅游市场强劲，交通运输活跃。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1-5月，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旅游人数496.41万人次，同比增长20.48%；旅游收入13.46亿元，同比增长45.04%。航空旅客吞吐量18.8695万人次，同比增长29.79%；航空货邮吞吐量311.571吨，同比减少33.45%。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铁路客运量 25.13万人次，同比增长0.87%。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643" w:firstLineChars="200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(六)就业总体稳定。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1-5月，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城镇新增就业人数6162人，完成全年目标任务的47.4%；农村富余劳动力转移就业人数108629人次，完成全年目标任务的56.87%。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firstLine="643" w:firstLineChars="200"/>
        <w:textAlignment w:val="auto"/>
        <w:rPr>
          <w:rFonts w:hint="default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(七)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用电量稳定增长。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1-5月，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全社会用电量86152万千瓦小时，同比增长9.47%；其中：工商业用电量40153万千瓦小时，同比增长10.26%。</w:t>
      </w:r>
      <w:bookmarkStart w:id="0" w:name="_GoBack"/>
      <w:bookmarkEnd w:id="0"/>
    </w:p>
    <w:sectPr>
      <w:footerReference r:id="rId3" w:type="default"/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Uighur">
    <w:altName w:val="Times New Roman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86A59"/>
    <w:rsid w:val="03736735"/>
    <w:rsid w:val="07005C95"/>
    <w:rsid w:val="09FB5496"/>
    <w:rsid w:val="0A6E3234"/>
    <w:rsid w:val="0B333149"/>
    <w:rsid w:val="0C1348C1"/>
    <w:rsid w:val="0C8E1EDA"/>
    <w:rsid w:val="0EB0573F"/>
    <w:rsid w:val="0FCD134F"/>
    <w:rsid w:val="10BA3D97"/>
    <w:rsid w:val="127914AC"/>
    <w:rsid w:val="12AC1431"/>
    <w:rsid w:val="12F47955"/>
    <w:rsid w:val="13E73703"/>
    <w:rsid w:val="14EA0ADF"/>
    <w:rsid w:val="16497FA5"/>
    <w:rsid w:val="18CE0E61"/>
    <w:rsid w:val="1A713B86"/>
    <w:rsid w:val="1B402610"/>
    <w:rsid w:val="221C022B"/>
    <w:rsid w:val="22F02861"/>
    <w:rsid w:val="23047809"/>
    <w:rsid w:val="232E0DF6"/>
    <w:rsid w:val="23392A65"/>
    <w:rsid w:val="243674C7"/>
    <w:rsid w:val="248D5F3D"/>
    <w:rsid w:val="24B4235D"/>
    <w:rsid w:val="24C8726D"/>
    <w:rsid w:val="26925AD5"/>
    <w:rsid w:val="27C0724C"/>
    <w:rsid w:val="29B8320E"/>
    <w:rsid w:val="2B2C3E50"/>
    <w:rsid w:val="2BBD492B"/>
    <w:rsid w:val="2CEC3CC9"/>
    <w:rsid w:val="2E577FAF"/>
    <w:rsid w:val="2E72718E"/>
    <w:rsid w:val="2F1E025C"/>
    <w:rsid w:val="31383275"/>
    <w:rsid w:val="332A0732"/>
    <w:rsid w:val="33F41991"/>
    <w:rsid w:val="3590182F"/>
    <w:rsid w:val="370526F0"/>
    <w:rsid w:val="392201AA"/>
    <w:rsid w:val="39873EEB"/>
    <w:rsid w:val="39D3252C"/>
    <w:rsid w:val="3ABC7D54"/>
    <w:rsid w:val="3B0131CC"/>
    <w:rsid w:val="3B4E0F41"/>
    <w:rsid w:val="3C586CD9"/>
    <w:rsid w:val="3CF03605"/>
    <w:rsid w:val="3F420C85"/>
    <w:rsid w:val="3F7857AC"/>
    <w:rsid w:val="3FD76CD2"/>
    <w:rsid w:val="409F1093"/>
    <w:rsid w:val="40FF77E8"/>
    <w:rsid w:val="41370A49"/>
    <w:rsid w:val="4416298A"/>
    <w:rsid w:val="450C740F"/>
    <w:rsid w:val="467245D5"/>
    <w:rsid w:val="478311E5"/>
    <w:rsid w:val="47E30230"/>
    <w:rsid w:val="484148DA"/>
    <w:rsid w:val="48867B06"/>
    <w:rsid w:val="48D02C98"/>
    <w:rsid w:val="4A691024"/>
    <w:rsid w:val="4A9713EE"/>
    <w:rsid w:val="4B667F8C"/>
    <w:rsid w:val="4B9352B5"/>
    <w:rsid w:val="4C1B6FEB"/>
    <w:rsid w:val="4D744167"/>
    <w:rsid w:val="4E550442"/>
    <w:rsid w:val="4EAE460B"/>
    <w:rsid w:val="50B45091"/>
    <w:rsid w:val="52E33822"/>
    <w:rsid w:val="53F43F3C"/>
    <w:rsid w:val="572E737C"/>
    <w:rsid w:val="592F32FE"/>
    <w:rsid w:val="5A261F51"/>
    <w:rsid w:val="5ABA7306"/>
    <w:rsid w:val="5DAB1E8C"/>
    <w:rsid w:val="63C8274E"/>
    <w:rsid w:val="63D64E01"/>
    <w:rsid w:val="641C4B08"/>
    <w:rsid w:val="642A3817"/>
    <w:rsid w:val="64B5217C"/>
    <w:rsid w:val="671F6571"/>
    <w:rsid w:val="6A3D0A89"/>
    <w:rsid w:val="6D4E750D"/>
    <w:rsid w:val="6D7C0FCE"/>
    <w:rsid w:val="6F9540A0"/>
    <w:rsid w:val="6FCA6CEC"/>
    <w:rsid w:val="70345552"/>
    <w:rsid w:val="7289683F"/>
    <w:rsid w:val="72973AF5"/>
    <w:rsid w:val="73E8192C"/>
    <w:rsid w:val="73FA3F67"/>
    <w:rsid w:val="74697710"/>
    <w:rsid w:val="748F4210"/>
    <w:rsid w:val="771135A4"/>
    <w:rsid w:val="7A296B05"/>
    <w:rsid w:val="7B2001DD"/>
    <w:rsid w:val="7B880676"/>
    <w:rsid w:val="7BFD6C90"/>
    <w:rsid w:val="7F3968F1"/>
    <w:rsid w:val="7F8E6E0D"/>
    <w:rsid w:val="7FF8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sz w:val="28"/>
      <w:szCs w:val="28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ind w:firstLine="880" w:firstLineChars="20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index 7"/>
    <w:basedOn w:val="1"/>
    <w:next w:val="1"/>
    <w:qFormat/>
    <w:uiPriority w:val="0"/>
    <w:pPr>
      <w:ind w:left="25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List"/>
    <w:basedOn w:val="1"/>
    <w:qFormat/>
    <w:uiPriority w:val="0"/>
    <w:pPr>
      <w:ind w:left="200" w:hanging="200" w:hangingChars="200"/>
      <w:contextualSpacing/>
    </w:pPr>
  </w:style>
  <w:style w:type="paragraph" w:styleId="10">
    <w:name w:val="table of figures"/>
    <w:basedOn w:val="1"/>
    <w:next w:val="1"/>
    <w:unhideWhenUsed/>
    <w:qFormat/>
    <w:uiPriority w:val="99"/>
    <w:pPr>
      <w:adjustRightInd w:val="0"/>
      <w:snapToGrid w:val="0"/>
      <w:spacing w:line="588" w:lineRule="exact"/>
      <w:ind w:firstLine="800" w:firstLineChars="200"/>
    </w:pPr>
    <w:rPr>
      <w:rFonts w:ascii="Times New Roman" w:hAnsi="Times New Roman" w:eastAsia="方正仿宋_GBK" w:cs="Times New Roman"/>
      <w:sz w:val="30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5"/>
    <w:next w:val="5"/>
    <w:qFormat/>
    <w:uiPriority w:val="0"/>
    <w:pPr>
      <w:spacing w:after="0" w:line="520" w:lineRule="exact"/>
      <w:ind w:left="0" w:leftChars="0" w:firstLine="420" w:firstLineChars="200"/>
    </w:pPr>
    <w:rPr>
      <w:rFonts w:ascii="Times New Roman" w:hAnsi="Times New Roman" w:eastAsia="楷体_GB2312"/>
      <w:b/>
      <w:color w:val="000000"/>
      <w:spacing w:val="4"/>
      <w:sz w:val="32"/>
      <w:szCs w:val="32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TOC 标题1"/>
    <w:next w:val="1"/>
    <w:qFormat/>
    <w:uiPriority w:val="39"/>
    <w:pPr>
      <w:keepNext/>
      <w:keepLines/>
      <w:widowControl w:val="0"/>
      <w:spacing w:before="480" w:after="0" w:line="276" w:lineRule="auto"/>
      <w:jc w:val="both"/>
      <w:outlineLvl w:val="9"/>
    </w:pPr>
    <w:rPr>
      <w:rFonts w:ascii="仿宋" w:hAnsi="仿宋" w:eastAsia="仿宋" w:cs="Microsoft Uighur"/>
      <w:b/>
      <w:kern w:val="0"/>
      <w:sz w:val="21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2024-03-18T04:37:00Z</dcterms:created>
  <dc:creator>Administrator</dc:creator>
  <cp:lastModifiedBy>wo</cp:lastModifiedBy>
  <cp:lastPrinted>2025-03-21T08:21:00Z</cp:lastPrinted>
  <dcterms:modified xsi:type="dcterms:W3CDTF">2025-06-27T03:37:27Z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