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  <w:t>莎车县202</w:t>
      </w:r>
      <w:r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  <w:t>5</w:t>
      </w:r>
      <w:r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  <w:t>年</w:t>
      </w:r>
      <w:r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  <w:t>1-12月</w:t>
      </w:r>
      <w:r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  <w:t>经济</w:t>
      </w:r>
      <w:r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  <w:t>运行情况</w:t>
      </w:r>
    </w:p>
    <w:p>
      <w:pPr>
        <w:pStyle w:val="9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1-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月，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在县委、县人民政府的领导下，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全县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坚持以习近平新时代中国特色社会主义思想为指导，深入贯彻党的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二十届四中全会精神，紧贴民生福祉推动高质量发展，直面压力、主动攻坚，经济运行呈现稳中向好态势。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lang w:val="en-US" w:eastAsia="zh-CN"/>
        </w:rPr>
        <w:t xml:space="preserve"> 一、</w:t>
      </w: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全年</w:t>
      </w:r>
      <w:r>
        <w:rPr>
          <w:rFonts w:hint="default" w:ascii="方正黑体_GBK" w:hAnsi="方正黑体_GBK" w:eastAsia="方正黑体_GBK" w:cs="方正黑体_GBK"/>
          <w:sz w:val="32"/>
          <w:lang w:val="en-US" w:eastAsia="zh-CN"/>
        </w:rPr>
        <w:t>经济指标完成情况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2025年1-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月，全县实现生产总值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2003190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万元，同比增长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4.8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%。其中，第一产业增加值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635756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万元，同比增长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5.5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%；第二产业增加值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298343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万元，同比增长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13.6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%；第三产业增加值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1069091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万元，同比增长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2.4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%。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增加值占生产总值比重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为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31.7:14.9:53.4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，呈现三一二态势。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全口径工业增加值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217871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万元，同比增长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19.1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%。其中，规模以上工业企业增加值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130446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万元，同比增长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15.7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(＊)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全社会固定资产投资额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879303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万元，同比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增长2.5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(＊)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全社会消费品零售总额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224822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万元，同比增长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5.8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%，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其中：限额以上社会消费品零售总额79560万元，同比增长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9.8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%。(＊)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一般公共财政预算收入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102127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万元，同比增长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16.15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一般公共财政预算支出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1083499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万元，同比增长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5.92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外贸进出口总额7040.67万美元，同比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增长17.56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全县旅游人数1273.35万人次，同比增长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22.86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%；旅游收入33.75亿元，同比增长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50.6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铁路客运量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128.1051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万人次，同比增长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13.7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%。航空旅客吞吐量52.1746万人次，同比增长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27.17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%；航空货邮吞吐量1023.623吨，同比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下降32.24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城镇新增就业13182人，完成全年目标任务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101.4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%；农村劳动力外出务工21.07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万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人次，完成全年目标任务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110.33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市场经营主体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68001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户，同比增长5.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8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%。其中：企业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8334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户，同比增长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9.9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%；个体工商户5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8337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户，同比增长5.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新登记经营主体7601户，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同比增长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7.1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；其中：企业1473户，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同比增长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11.9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%；个体工商户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6018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户，同比增长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6.2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全社会用电量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255143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万千瓦时，同比增长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22.2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%。其中：工业用电量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110245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万千瓦时，同比增长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37.5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备注：带＊号指标为统计部门统计数据，其他指标均为行业部门数据。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lang w:val="en-US" w:eastAsia="zh-CN"/>
        </w:rPr>
        <w:t>二、经济运行主要特点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lang w:val="en-US" w:eastAsia="zh-CN"/>
        </w:rPr>
        <w:t>（一）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lang w:eastAsia="zh-CN"/>
        </w:rPr>
        <w:t>农业生产</w:t>
      </w:r>
      <w:r>
        <w:rPr>
          <w:rFonts w:hint="eastAsia" w:ascii="Times New Roman" w:hAnsi="Times New Roman" w:eastAsia="方正楷体_GBK" w:cs="Times New Roman"/>
          <w:b/>
          <w:bCs/>
          <w:color w:val="auto"/>
          <w:sz w:val="32"/>
          <w:lang w:val="en-US" w:eastAsia="zh-CN"/>
        </w:rPr>
        <w:t>平稳增长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全年全县农林牧渔业总产值136.27亿元，同比增长5.8％。其中，农业总产值108.68亿元，同比增长5.1%；林业总产值0.57亿元，同比增长36.6%；牧业总产值16.93亿元，同比增长6%；渔业总产值0.15亿元，同比增长5.8%；农林牧渔服务业总产值9.93亿元，同比增长10.7%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b/>
          <w:bCs/>
          <w:sz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b/>
          <w:bCs/>
          <w:sz w:val="32"/>
          <w:lang w:val="en-US" w:eastAsia="zh-CN"/>
        </w:rPr>
        <w:t>）固定资产投资</w:t>
      </w:r>
      <w:r>
        <w:rPr>
          <w:rFonts w:hint="eastAsia" w:ascii="Times New Roman" w:hAnsi="Times New Roman" w:eastAsia="方正楷体_GBK" w:cs="Times New Roman"/>
          <w:b/>
          <w:bCs/>
          <w:sz w:val="32"/>
          <w:lang w:val="en-US" w:eastAsia="zh-CN"/>
        </w:rPr>
        <w:t>小幅增长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1-12月，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全社会固定资产投资总额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879303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万元，同比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增长2.5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lang w:val="zh-CN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lang w:val="en-US" w:eastAsia="zh-CN"/>
        </w:rPr>
        <w:t>三次产业“2增1降”。</w:t>
      </w:r>
      <w:r>
        <w:rPr>
          <w:rFonts w:hint="default" w:ascii="Times New Roman" w:hAnsi="Times New Roman" w:eastAsia="方正仿宋_GBK" w:cs="Times New Roman"/>
          <w:sz w:val="32"/>
          <w:lang w:val="zh-CN" w:eastAsia="zh-CN"/>
        </w:rPr>
        <w:t>第二产业完成投资556031万元，同比增长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15.1</w:t>
      </w:r>
      <w:r>
        <w:rPr>
          <w:rFonts w:hint="default" w:ascii="Times New Roman" w:hAnsi="Times New Roman" w:eastAsia="方正仿宋_GBK" w:cs="Times New Roman"/>
          <w:sz w:val="32"/>
          <w:lang w:val="zh-CN" w:eastAsia="zh-CN"/>
        </w:rPr>
        <w:t>%，占全部投资的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63.2</w:t>
      </w:r>
      <w:r>
        <w:rPr>
          <w:rFonts w:hint="default" w:ascii="Times New Roman" w:hAnsi="Times New Roman" w:eastAsia="方正仿宋_GBK" w:cs="Times New Roman"/>
          <w:sz w:val="32"/>
          <w:lang w:val="zh-CN" w:eastAsia="zh-CN"/>
        </w:rPr>
        <w:t>%；第三产业完成投资256841万元，同比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增长6</w:t>
      </w:r>
      <w:r>
        <w:rPr>
          <w:rFonts w:hint="default" w:ascii="Times New Roman" w:hAnsi="Times New Roman" w:eastAsia="方正仿宋_GBK" w:cs="Times New Roman"/>
          <w:sz w:val="32"/>
          <w:lang w:val="zh-CN" w:eastAsia="zh-CN"/>
        </w:rPr>
        <w:t>%，占全部投资的25.2%；第一产业完成投资53863万元，同比下降34.8%，占全部投资的6.3%。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lang w:val="en-US" w:eastAsia="zh-CN"/>
        </w:rPr>
        <w:t>设备购置</w:t>
      </w:r>
      <w:r>
        <w:rPr>
          <w:rFonts w:hint="eastAsia" w:ascii="Times New Roman" w:hAnsi="Times New Roman" w:eastAsia="方正仿宋_GBK" w:cs="Times New Roman"/>
          <w:b/>
          <w:bCs/>
          <w:sz w:val="32"/>
          <w:lang w:val="en-US" w:eastAsia="zh-CN"/>
        </w:rPr>
        <w:t>投资稳定增长。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设备购置完成投资400645万元，同比增长35%，占投资总额的42.4%。建安完成投资432455万元，同比下降11.5%，占投资总额的45.8%。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lang w:val="en-US" w:eastAsia="zh-CN"/>
        </w:rPr>
        <w:t>房地产</w:t>
      </w:r>
      <w:r>
        <w:rPr>
          <w:rFonts w:hint="eastAsia" w:ascii="Times New Roman" w:hAnsi="Times New Roman" w:eastAsia="方正仿宋_GBK" w:cs="Times New Roman"/>
          <w:b/>
          <w:bCs/>
          <w:sz w:val="32"/>
          <w:lang w:val="en-US" w:eastAsia="zh-CN"/>
        </w:rPr>
        <w:t>开发</w:t>
      </w:r>
      <w:r>
        <w:rPr>
          <w:rFonts w:hint="default" w:ascii="Times New Roman" w:hAnsi="Times New Roman" w:eastAsia="方正仿宋_GBK" w:cs="Times New Roman"/>
          <w:b/>
          <w:bCs/>
          <w:sz w:val="32"/>
          <w:lang w:val="en-US" w:eastAsia="zh-CN"/>
        </w:rPr>
        <w:t>投资</w:t>
      </w:r>
      <w:r>
        <w:rPr>
          <w:rFonts w:hint="eastAsia" w:ascii="Times New Roman" w:hAnsi="Times New Roman" w:eastAsia="方正仿宋_GBK" w:cs="Times New Roman"/>
          <w:b/>
          <w:bCs/>
          <w:sz w:val="32"/>
          <w:lang w:val="en-US" w:eastAsia="zh-CN"/>
        </w:rPr>
        <w:t>持续承压。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房地产完成投资12066万元，同比下降68.9%，占投资总额的1.4%。商品房销售面积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88322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平方米，同比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下降13.6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%，本年商品房销售额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39665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万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元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，同比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下降4.93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b/>
          <w:bCs/>
          <w:sz w:val="32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b/>
          <w:bCs/>
          <w:sz w:val="32"/>
          <w:lang w:val="en-US" w:eastAsia="zh-CN"/>
        </w:rPr>
        <w:t>）规上工业</w:t>
      </w:r>
      <w:r>
        <w:rPr>
          <w:rFonts w:hint="eastAsia" w:ascii="Times New Roman" w:hAnsi="Times New Roman" w:eastAsia="方正楷体_GBK" w:cs="Times New Roman"/>
          <w:b/>
          <w:bCs/>
          <w:sz w:val="32"/>
          <w:lang w:val="en-US" w:eastAsia="zh-CN"/>
        </w:rPr>
        <w:t>保持增长，制造业主导地位突出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1-12月，规上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zh-CN" w:eastAsia="zh-CN" w:bidi="ar-SA"/>
        </w:rPr>
        <w:t>工业增加值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130446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zh-CN" w:eastAsia="zh-CN" w:bidi="ar-SA"/>
        </w:rPr>
        <w:t>万元，同比增长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15.7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zh-CN" w:eastAsia="zh-CN" w:bidi="ar-SA"/>
        </w:rPr>
        <w:t>%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zh-CN" w:eastAsia="zh-CN" w:bidi="ar-SA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较1-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11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提高0.27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 xml:space="preserve">个百分点。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24"/>
          <w:lang w:val="en-US" w:eastAsia="zh-CN" w:bidi="ar-SA"/>
        </w:rPr>
        <w:t>三大门类一增一降一平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24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制造业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zh-CN" w:eastAsia="zh-CN" w:bidi="ar-SA"/>
        </w:rPr>
        <w:t>增加值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56146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万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元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，同比增长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50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%，占全部规上工业43%，拉动规上工业增加值增速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14.8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个百分点，对规模以上工业增加值贡献率10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6.3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%；电力、热力、燃气及水生产和供应业增加值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74300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万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元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，同比下降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2.2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%，占全部规上工业5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7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%，下拉规上工业增加值0.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9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 xml:space="preserve">个百分点；采矿业暂无规模以上工业企业。 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24"/>
          <w:lang w:val="en-US" w:eastAsia="zh-CN" w:bidi="ar-SA"/>
        </w:rPr>
        <w:t>重点行业拉动显著。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全县19个行业大类中，9个行业呈增长态势，增长面达47.4%。增加值占比前10的重点行业“六增四降”，合计完成增加值127706万元，占规上工业增加值的97.9%。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24"/>
          <w:lang w:val="en-US" w:eastAsia="zh-CN" w:bidi="ar-SA"/>
        </w:rPr>
        <w:t>近六成产品产量实现增长。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全县生产的11种主要工业产品中有6种产品产量增长，增长面为54.5%。家具生产量7527件，同比增长128.8%；棉纱126211吨，同比增长101.7%；鲜、冷藏肉1355吨，同比增长13.4%；小麦粉63133吨，同比增长11.5%；发电量570326万千瓦时，同比增长9.4%；硅酸盐水泥熟料340661吨，同比增长3.4%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b/>
          <w:bCs/>
          <w:sz w:val="32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b/>
          <w:bCs/>
          <w:sz w:val="32"/>
          <w:lang w:val="en-US" w:eastAsia="zh-CN"/>
        </w:rPr>
        <w:t>）消费</w:t>
      </w:r>
      <w:r>
        <w:rPr>
          <w:rFonts w:hint="eastAsia" w:ascii="Times New Roman" w:hAnsi="Times New Roman" w:eastAsia="方正楷体_GBK" w:cs="Times New Roman"/>
          <w:b/>
          <w:bCs/>
          <w:sz w:val="32"/>
          <w:lang w:val="en-US" w:eastAsia="zh-CN"/>
        </w:rPr>
        <w:t>需求稳步释放，重点商品消费支撑有力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1-12月，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限额以上社会消费品零售总额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79560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万元，同比增长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9.8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，较1-11月提高0.1个百分点。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按构成类型分，限上批发业商品销售额306638万元，同比增长7.4%；零售业商品销售额66231万元，同比下降0.7%；住宿业营业额8691万元，同比增长44%；餐饮业营业额10918万元，同比增长3%。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24"/>
          <w:lang w:val="en-US" w:eastAsia="zh-CN" w:bidi="ar-SA"/>
        </w:rPr>
        <w:t>餐饮收入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24"/>
          <w:lang w:val="en-US" w:eastAsia="zh-CN" w:bidi="ar-SA"/>
        </w:rPr>
        <w:t>增长高于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24"/>
          <w:lang w:val="en-US" w:eastAsia="zh-CN" w:bidi="ar-SA"/>
        </w:rPr>
        <w:t>商品零售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24"/>
          <w:lang w:val="en-US" w:eastAsia="zh-CN" w:bidi="ar-SA"/>
        </w:rPr>
        <w:t>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全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县限额以上实现餐饮收入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14216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万元，同比增长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18.8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%，占限额以上消费品零售额比重为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17.9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限额以上实现商品零售额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65344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万元，同比增长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8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%，占限额以上消费品零售额比重为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82.1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24"/>
          <w:lang w:val="en-US" w:eastAsia="zh-CN" w:bidi="ar-SA"/>
        </w:rPr>
        <w:t>乡村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24"/>
          <w:lang w:val="en-US" w:eastAsia="zh-CN" w:bidi="ar-SA"/>
        </w:rPr>
        <w:t>消费品零售额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24"/>
          <w:lang w:val="en-US" w:eastAsia="zh-CN" w:bidi="ar-SA"/>
        </w:rPr>
        <w:t>增速高于城镇。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全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县乡村限额以上社会消费品零售额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26024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万元，同比增长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16.7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%，占限额以上消费品零售额比重为32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.7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城镇限额以上社会消费品零售额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53536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万元，同比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增长6.58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%，占限额以上消费品零售额比重为67.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24"/>
          <w:lang w:val="en-US" w:eastAsia="zh-CN" w:bidi="ar-SA"/>
        </w:rPr>
        <w:t>重点商品零售呈较快增长。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限额以上粮油、食品类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、中西药品类、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汽车类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、服装、鞋帽、针纺织品类、其他未列明商品类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零售额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分别同比增长10.1%、67.5%、13.6%、1.3%、49.8%，占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限额以上社会消费品零售总额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89.8%。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b/>
          <w:bCs/>
          <w:sz w:val="32"/>
          <w:lang w:val="en-US" w:eastAsia="zh-CN"/>
        </w:rPr>
        <w:t>五</w:t>
      </w:r>
      <w:r>
        <w:rPr>
          <w:rFonts w:hint="default" w:ascii="Times New Roman" w:hAnsi="Times New Roman" w:eastAsia="方正楷体_GBK" w:cs="Times New Roman"/>
          <w:b/>
          <w:bCs/>
          <w:sz w:val="32"/>
          <w:lang w:val="en-US" w:eastAsia="zh-CN"/>
        </w:rPr>
        <w:t>）财政</w:t>
      </w:r>
      <w:r>
        <w:rPr>
          <w:rFonts w:hint="eastAsia" w:ascii="Times New Roman" w:hAnsi="Times New Roman" w:eastAsia="方正楷体_GBK" w:cs="Times New Roman"/>
          <w:b/>
          <w:bCs/>
          <w:sz w:val="32"/>
          <w:lang w:val="en-US" w:eastAsia="zh-CN"/>
        </w:rPr>
        <w:t>收入快速增长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24"/>
          <w:lang w:val="zh-CN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1-12月，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zh-CN" w:eastAsia="zh-CN" w:bidi="ar-SA"/>
        </w:rPr>
        <w:t>一般公共预算收入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102127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万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zh-CN" w:eastAsia="zh-CN" w:bidi="ar-SA"/>
        </w:rPr>
        <w:t>元，同比增长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16.15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zh-CN" w:eastAsia="zh-CN" w:bidi="ar-SA"/>
        </w:rPr>
        <w:t>%，其中：税收收入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53938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万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zh-CN" w:eastAsia="zh-CN" w:bidi="ar-SA"/>
        </w:rPr>
        <w:t>元，同比增长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18.92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zh-CN" w:eastAsia="zh-CN" w:bidi="ar-SA"/>
        </w:rPr>
        <w:t>%；非税收入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48189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万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zh-CN" w:eastAsia="zh-CN" w:bidi="ar-SA"/>
        </w:rPr>
        <w:t>元，同比增长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13.19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zh-CN" w:eastAsia="zh-CN" w:bidi="ar-SA"/>
        </w:rPr>
        <w:t>%。一般公共预算支出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1083499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万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zh-CN" w:eastAsia="zh-CN" w:bidi="ar-SA"/>
        </w:rPr>
        <w:t>元，同比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增长5.92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zh-CN" w:eastAsia="zh-CN" w:bidi="ar-SA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b/>
          <w:bCs/>
          <w:sz w:val="32"/>
          <w:lang w:val="en-US" w:eastAsia="zh-CN"/>
        </w:rPr>
        <w:t>六</w:t>
      </w:r>
      <w:r>
        <w:rPr>
          <w:rFonts w:hint="default" w:ascii="Times New Roman" w:hAnsi="Times New Roman" w:eastAsia="方正楷体_GBK" w:cs="Times New Roman"/>
          <w:b/>
          <w:bCs/>
          <w:sz w:val="32"/>
          <w:lang w:val="en-US" w:eastAsia="zh-CN"/>
        </w:rPr>
        <w:t>）旅游</w:t>
      </w:r>
      <w:r>
        <w:rPr>
          <w:rFonts w:hint="eastAsia" w:ascii="Times New Roman" w:hAnsi="Times New Roman" w:eastAsia="方正楷体_GBK" w:cs="Times New Roman"/>
          <w:b/>
          <w:bCs/>
          <w:sz w:val="32"/>
          <w:lang w:val="en-US" w:eastAsia="zh-CN"/>
        </w:rPr>
        <w:t>市场强劲，交通流量增加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1-12月，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全县旅游人数1273.35万人次，同比增长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22.86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%；旅游收入33.75亿元，同比增长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50.6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%。铁路客运量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128.1051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万人次，同比增长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13.7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%。航空旅客吞吐量52.1746万人次，同比增长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27.17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%；航空货邮吞吐量1023.623吨，同比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下降32.24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Times New Roman" w:hAnsi="Times New Roman" w:eastAsia="方正楷体_GBK" w:cs="Times New Roman"/>
          <w:b/>
          <w:bCs/>
          <w:sz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b/>
          <w:bCs/>
          <w:sz w:val="32"/>
          <w:lang w:val="en-US" w:eastAsia="zh-CN"/>
        </w:rPr>
        <w:t>七</w:t>
      </w:r>
      <w:r>
        <w:rPr>
          <w:rFonts w:hint="default" w:ascii="Times New Roman" w:hAnsi="Times New Roman" w:eastAsia="方正楷体_GBK" w:cs="Times New Roman"/>
          <w:b/>
          <w:bCs/>
          <w:sz w:val="32"/>
          <w:lang w:val="en-US" w:eastAsia="zh-CN"/>
        </w:rPr>
        <w:t>）</w:t>
      </w:r>
      <w:r>
        <w:rPr>
          <w:rFonts w:hint="eastAsia" w:ascii="Times New Roman" w:hAnsi="Times New Roman" w:eastAsia="方正楷体_GBK" w:cs="Times New Roman"/>
          <w:b/>
          <w:bCs/>
          <w:sz w:val="32"/>
          <w:lang w:val="en-US" w:eastAsia="zh-CN"/>
        </w:rPr>
        <w:t>市场主体活跃，</w:t>
      </w:r>
      <w:r>
        <w:rPr>
          <w:rFonts w:hint="default" w:ascii="Times New Roman" w:hAnsi="Times New Roman" w:eastAsia="方正楷体_GBK" w:cs="Times New Roman"/>
          <w:b/>
          <w:bCs/>
          <w:sz w:val="32"/>
          <w:lang w:val="en-US" w:eastAsia="zh-CN"/>
        </w:rPr>
        <w:t>就业</w:t>
      </w:r>
      <w:r>
        <w:rPr>
          <w:rFonts w:hint="eastAsia" w:ascii="Times New Roman" w:hAnsi="Times New Roman" w:eastAsia="方正楷体_GBK" w:cs="Times New Roman"/>
          <w:b/>
          <w:bCs/>
          <w:sz w:val="32"/>
          <w:lang w:val="en-US" w:eastAsia="zh-CN"/>
        </w:rPr>
        <w:t>稳定增加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1-12月，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市场经营主体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68001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户，同比增长5.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8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%。其中：企业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8334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户，同比增长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9.9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%；个体工商户5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8337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户，同比增长5.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新登记经营主体7601户，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同比增长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7.1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；其中：企业1473户，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同比增长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11.9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%；个体工商户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6018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户，同比增长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6.2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%。城镇新增就业13182人，完成全年目标任务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101.4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%；农村劳动力外出务工21.07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万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人次，完成全年目标任务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110.33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lang w:val="zh-CN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b/>
          <w:bCs/>
          <w:sz w:val="32"/>
          <w:lang w:val="en-US" w:eastAsia="zh-CN"/>
        </w:rPr>
        <w:t>八</w:t>
      </w:r>
      <w:r>
        <w:rPr>
          <w:rFonts w:hint="default" w:ascii="Times New Roman" w:hAnsi="Times New Roman" w:eastAsia="方正楷体_GBK" w:cs="Times New Roman"/>
          <w:b/>
          <w:bCs/>
          <w:sz w:val="32"/>
          <w:lang w:val="en-US" w:eastAsia="zh-CN"/>
        </w:rPr>
        <w:t>）</w:t>
      </w:r>
      <w:r>
        <w:rPr>
          <w:rFonts w:hint="default" w:ascii="Times New Roman" w:hAnsi="Times New Roman" w:eastAsia="方正楷体_GBK" w:cs="Times New Roman"/>
          <w:b/>
          <w:bCs/>
          <w:sz w:val="32"/>
          <w:lang w:val="zh-CN" w:eastAsia="zh-CN"/>
        </w:rPr>
        <w:t>居民消费价格小幅下降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1-12月，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zh-CN" w:eastAsia="zh-CN" w:bidi="ar-SA"/>
        </w:rPr>
        <w:t>居民消费价格比上年下跌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0.8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zh-CN" w:eastAsia="zh-CN" w:bidi="ar-SA"/>
        </w:rPr>
        <w:t>%，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12月份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zh-CN" w:eastAsia="zh-CN" w:bidi="ar-SA"/>
        </w:rPr>
        <w:t>居民消费价格同比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持平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zh-CN" w:eastAsia="zh-CN" w:bidi="ar-SA"/>
        </w:rPr>
        <w:t>。八大类商品及服务“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四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zh-CN" w:eastAsia="zh-CN" w:bidi="ar-SA"/>
        </w:rPr>
        <w:t>涨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四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zh-CN" w:eastAsia="zh-CN" w:bidi="ar-SA"/>
        </w:rPr>
        <w:t>降”，食品烟酒类上涨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1.2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zh-CN" w:eastAsia="zh-CN" w:bidi="ar-SA"/>
        </w:rPr>
        <w:t>%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zh-CN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zh-CN" w:eastAsia="zh-CN" w:bidi="ar-SA"/>
        </w:rPr>
        <w:t>生活用品及服务类上涨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zh-CN" w:eastAsia="zh-CN" w:bidi="ar-SA"/>
        </w:rPr>
        <w:t>%、医疗保健类上涨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3.3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zh-CN" w:eastAsia="zh-CN" w:bidi="ar-SA"/>
        </w:rPr>
        <w:t>%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zh-CN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zh-CN" w:eastAsia="zh-CN" w:bidi="ar-SA"/>
        </w:rPr>
        <w:t>其他用品及服务上涨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17.4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zh-CN" w:eastAsia="zh-CN" w:bidi="ar-SA"/>
        </w:rPr>
        <w:t>%，衣着类下降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1.3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zh-CN" w:eastAsia="zh-CN" w:bidi="ar-SA"/>
        </w:rPr>
        <w:t>%、居住类下降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1.6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zh-CN" w:eastAsia="zh-CN" w:bidi="ar-SA"/>
        </w:rPr>
        <w:t>%、交通通信类下降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3.7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zh-CN" w:eastAsia="zh-CN" w:bidi="ar-SA"/>
        </w:rPr>
        <w:t>%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zh-CN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zh-CN" w:eastAsia="zh-CN" w:bidi="ar-SA"/>
        </w:rPr>
        <w:t>教育文化娱乐类下降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zh-CN" w:eastAsia="zh-CN" w:bidi="ar-SA"/>
        </w:rPr>
        <w:t>%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zh-CN" w:eastAsia="zh-CN" w:bidi="ar-SA"/>
        </w:rPr>
        <w:t>。</w:t>
      </w:r>
    </w:p>
    <w:sectPr>
      <w:footerReference r:id="rId3" w:type="default"/>
      <w:pgSz w:w="11906" w:h="16838"/>
      <w:pgMar w:top="1984" w:right="1531" w:bottom="1701" w:left="1531" w:header="851" w:footer="130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90F4F"/>
    <w:rsid w:val="011C425F"/>
    <w:rsid w:val="016D16DA"/>
    <w:rsid w:val="01856BAD"/>
    <w:rsid w:val="03113C01"/>
    <w:rsid w:val="03340889"/>
    <w:rsid w:val="0345608D"/>
    <w:rsid w:val="03FE699E"/>
    <w:rsid w:val="042829AD"/>
    <w:rsid w:val="048C1143"/>
    <w:rsid w:val="052E6A0C"/>
    <w:rsid w:val="053249ED"/>
    <w:rsid w:val="05794B34"/>
    <w:rsid w:val="05977D37"/>
    <w:rsid w:val="06295C9F"/>
    <w:rsid w:val="06480801"/>
    <w:rsid w:val="06B42AA8"/>
    <w:rsid w:val="077F6C74"/>
    <w:rsid w:val="07AF2B81"/>
    <w:rsid w:val="07FC0F9F"/>
    <w:rsid w:val="09BC0C79"/>
    <w:rsid w:val="0A280E46"/>
    <w:rsid w:val="0AFE2164"/>
    <w:rsid w:val="0AFF2D29"/>
    <w:rsid w:val="0B0D58E7"/>
    <w:rsid w:val="0B54267D"/>
    <w:rsid w:val="0B5B2D8C"/>
    <w:rsid w:val="0C346AF8"/>
    <w:rsid w:val="0CEB4F90"/>
    <w:rsid w:val="0DD95FBC"/>
    <w:rsid w:val="0E634DB2"/>
    <w:rsid w:val="0E80179D"/>
    <w:rsid w:val="0EAD2F93"/>
    <w:rsid w:val="0EEB051B"/>
    <w:rsid w:val="0EF2627D"/>
    <w:rsid w:val="0F5522C6"/>
    <w:rsid w:val="0F711C9B"/>
    <w:rsid w:val="102079BC"/>
    <w:rsid w:val="108860BB"/>
    <w:rsid w:val="11B47A14"/>
    <w:rsid w:val="11CB201D"/>
    <w:rsid w:val="12B77579"/>
    <w:rsid w:val="13B3212D"/>
    <w:rsid w:val="14B05201"/>
    <w:rsid w:val="14B74AC2"/>
    <w:rsid w:val="150E3585"/>
    <w:rsid w:val="157F0214"/>
    <w:rsid w:val="15AC781F"/>
    <w:rsid w:val="15DC1F85"/>
    <w:rsid w:val="16105778"/>
    <w:rsid w:val="16B02B92"/>
    <w:rsid w:val="18466233"/>
    <w:rsid w:val="18640C92"/>
    <w:rsid w:val="19082E17"/>
    <w:rsid w:val="194A6D95"/>
    <w:rsid w:val="19704A53"/>
    <w:rsid w:val="19AF4BA5"/>
    <w:rsid w:val="19F0045F"/>
    <w:rsid w:val="1A6F0819"/>
    <w:rsid w:val="1A7F5E79"/>
    <w:rsid w:val="1AD172DA"/>
    <w:rsid w:val="1AE470DD"/>
    <w:rsid w:val="1C8107F9"/>
    <w:rsid w:val="1C8C276B"/>
    <w:rsid w:val="1D246E04"/>
    <w:rsid w:val="1E0721E1"/>
    <w:rsid w:val="205129EA"/>
    <w:rsid w:val="206E5F54"/>
    <w:rsid w:val="21491388"/>
    <w:rsid w:val="218B14D8"/>
    <w:rsid w:val="21A1407C"/>
    <w:rsid w:val="2354556D"/>
    <w:rsid w:val="23D63257"/>
    <w:rsid w:val="251D1497"/>
    <w:rsid w:val="265176EA"/>
    <w:rsid w:val="26EA0BE9"/>
    <w:rsid w:val="274A0C24"/>
    <w:rsid w:val="28017E2F"/>
    <w:rsid w:val="28B86808"/>
    <w:rsid w:val="29336EA9"/>
    <w:rsid w:val="2AA6571D"/>
    <w:rsid w:val="2AE70BFC"/>
    <w:rsid w:val="2AED103D"/>
    <w:rsid w:val="2BDF4C4D"/>
    <w:rsid w:val="2C337005"/>
    <w:rsid w:val="2E715371"/>
    <w:rsid w:val="2EAC45C4"/>
    <w:rsid w:val="2FCC3878"/>
    <w:rsid w:val="315F671F"/>
    <w:rsid w:val="317278A0"/>
    <w:rsid w:val="324859A3"/>
    <w:rsid w:val="32867C0E"/>
    <w:rsid w:val="331913C1"/>
    <w:rsid w:val="347A2350"/>
    <w:rsid w:val="349C2944"/>
    <w:rsid w:val="350669EE"/>
    <w:rsid w:val="3533783A"/>
    <w:rsid w:val="356F3BF2"/>
    <w:rsid w:val="35715811"/>
    <w:rsid w:val="359331E1"/>
    <w:rsid w:val="36065B8C"/>
    <w:rsid w:val="36607DA2"/>
    <w:rsid w:val="36946517"/>
    <w:rsid w:val="38031806"/>
    <w:rsid w:val="3AAF5655"/>
    <w:rsid w:val="3BAF1A79"/>
    <w:rsid w:val="3C62480D"/>
    <w:rsid w:val="3CFB79CF"/>
    <w:rsid w:val="3D1041F6"/>
    <w:rsid w:val="3E1E7876"/>
    <w:rsid w:val="3E665E83"/>
    <w:rsid w:val="3F581721"/>
    <w:rsid w:val="3FA94EA7"/>
    <w:rsid w:val="3FD962AD"/>
    <w:rsid w:val="3FDC5B9D"/>
    <w:rsid w:val="3FEF6E05"/>
    <w:rsid w:val="3FF67399"/>
    <w:rsid w:val="4062512B"/>
    <w:rsid w:val="40D4034E"/>
    <w:rsid w:val="41C300CB"/>
    <w:rsid w:val="41F27233"/>
    <w:rsid w:val="42D72F09"/>
    <w:rsid w:val="434A6A68"/>
    <w:rsid w:val="436B7722"/>
    <w:rsid w:val="447A3510"/>
    <w:rsid w:val="44860AE0"/>
    <w:rsid w:val="44C05201"/>
    <w:rsid w:val="44C93264"/>
    <w:rsid w:val="44FF3DC8"/>
    <w:rsid w:val="451B78E3"/>
    <w:rsid w:val="45E7211F"/>
    <w:rsid w:val="46A7290B"/>
    <w:rsid w:val="46A87A52"/>
    <w:rsid w:val="477E6374"/>
    <w:rsid w:val="47F7358A"/>
    <w:rsid w:val="48991F8F"/>
    <w:rsid w:val="48E74A65"/>
    <w:rsid w:val="49BA5EAE"/>
    <w:rsid w:val="49F243F2"/>
    <w:rsid w:val="4A492BD2"/>
    <w:rsid w:val="4A5E4D53"/>
    <w:rsid w:val="4A7C7E5C"/>
    <w:rsid w:val="4B5B0C73"/>
    <w:rsid w:val="4E503A29"/>
    <w:rsid w:val="4E5F6030"/>
    <w:rsid w:val="4EDE13CA"/>
    <w:rsid w:val="4F3A06BB"/>
    <w:rsid w:val="4F561749"/>
    <w:rsid w:val="4F740783"/>
    <w:rsid w:val="4F9C62ED"/>
    <w:rsid w:val="503A5697"/>
    <w:rsid w:val="50672D16"/>
    <w:rsid w:val="507E3E6A"/>
    <w:rsid w:val="52137125"/>
    <w:rsid w:val="52C561CB"/>
    <w:rsid w:val="52C9400B"/>
    <w:rsid w:val="52F437D1"/>
    <w:rsid w:val="54027AE5"/>
    <w:rsid w:val="54AE18A9"/>
    <w:rsid w:val="54B94928"/>
    <w:rsid w:val="54C41154"/>
    <w:rsid w:val="55690E29"/>
    <w:rsid w:val="55867A33"/>
    <w:rsid w:val="55EE2F27"/>
    <w:rsid w:val="56993CC9"/>
    <w:rsid w:val="56BD1E7F"/>
    <w:rsid w:val="573E7AEF"/>
    <w:rsid w:val="57555126"/>
    <w:rsid w:val="57912F7F"/>
    <w:rsid w:val="58524A52"/>
    <w:rsid w:val="586660BE"/>
    <w:rsid w:val="590E41E1"/>
    <w:rsid w:val="5A136C7A"/>
    <w:rsid w:val="5A1A1B61"/>
    <w:rsid w:val="5A2035FE"/>
    <w:rsid w:val="5A7C7351"/>
    <w:rsid w:val="5AE26800"/>
    <w:rsid w:val="5BD92F2A"/>
    <w:rsid w:val="5C7E4649"/>
    <w:rsid w:val="5CD640D8"/>
    <w:rsid w:val="5DE6428C"/>
    <w:rsid w:val="5E743A82"/>
    <w:rsid w:val="5E7C4D4F"/>
    <w:rsid w:val="5EFA3A44"/>
    <w:rsid w:val="5F322D5B"/>
    <w:rsid w:val="5F324A6F"/>
    <w:rsid w:val="5F4E2E79"/>
    <w:rsid w:val="5F6546FB"/>
    <w:rsid w:val="5F6752AD"/>
    <w:rsid w:val="5F7720A4"/>
    <w:rsid w:val="5FE1239F"/>
    <w:rsid w:val="607C0CEA"/>
    <w:rsid w:val="60B53C08"/>
    <w:rsid w:val="619A7B48"/>
    <w:rsid w:val="61B10760"/>
    <w:rsid w:val="620D64CD"/>
    <w:rsid w:val="623E79C6"/>
    <w:rsid w:val="62C15A98"/>
    <w:rsid w:val="63806272"/>
    <w:rsid w:val="63817AFD"/>
    <w:rsid w:val="63B112DA"/>
    <w:rsid w:val="63D74A3A"/>
    <w:rsid w:val="63F81A51"/>
    <w:rsid w:val="650B5043"/>
    <w:rsid w:val="65C33B7F"/>
    <w:rsid w:val="66797C16"/>
    <w:rsid w:val="667C0979"/>
    <w:rsid w:val="66BC574E"/>
    <w:rsid w:val="68400FAF"/>
    <w:rsid w:val="68C21603"/>
    <w:rsid w:val="68C54CC6"/>
    <w:rsid w:val="69CF3D69"/>
    <w:rsid w:val="6A457904"/>
    <w:rsid w:val="6ADF352F"/>
    <w:rsid w:val="6AE81949"/>
    <w:rsid w:val="6B035C4B"/>
    <w:rsid w:val="6B232F0F"/>
    <w:rsid w:val="6B6A2495"/>
    <w:rsid w:val="6C365F09"/>
    <w:rsid w:val="6CC15B8C"/>
    <w:rsid w:val="6D4603B6"/>
    <w:rsid w:val="6D814864"/>
    <w:rsid w:val="6DA900F6"/>
    <w:rsid w:val="6DDA0CA9"/>
    <w:rsid w:val="6E4F2DF3"/>
    <w:rsid w:val="6E6157A9"/>
    <w:rsid w:val="6EDE1E49"/>
    <w:rsid w:val="6F690C54"/>
    <w:rsid w:val="6FC96D50"/>
    <w:rsid w:val="7043316E"/>
    <w:rsid w:val="71856D06"/>
    <w:rsid w:val="71F241F5"/>
    <w:rsid w:val="72464A59"/>
    <w:rsid w:val="729A7419"/>
    <w:rsid w:val="736A4278"/>
    <w:rsid w:val="73975223"/>
    <w:rsid w:val="73FA0B12"/>
    <w:rsid w:val="7403453B"/>
    <w:rsid w:val="744C6428"/>
    <w:rsid w:val="74771B4B"/>
    <w:rsid w:val="74901288"/>
    <w:rsid w:val="75B85375"/>
    <w:rsid w:val="75D379C8"/>
    <w:rsid w:val="764E7771"/>
    <w:rsid w:val="76DB167D"/>
    <w:rsid w:val="777F29FD"/>
    <w:rsid w:val="793766F9"/>
    <w:rsid w:val="79B90B47"/>
    <w:rsid w:val="7AC73823"/>
    <w:rsid w:val="7B3C03B2"/>
    <w:rsid w:val="7B630BEE"/>
    <w:rsid w:val="7C04598F"/>
    <w:rsid w:val="7C3E1DFB"/>
    <w:rsid w:val="7D0978D6"/>
    <w:rsid w:val="7D1A6B0D"/>
    <w:rsid w:val="7D1E2205"/>
    <w:rsid w:val="7DFD4F30"/>
    <w:rsid w:val="7E14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next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List"/>
    <w:basedOn w:val="1"/>
    <w:qFormat/>
    <w:uiPriority w:val="0"/>
    <w:pPr>
      <w:ind w:left="200" w:hanging="200" w:hangingChars="200"/>
      <w:contextualSpacing/>
    </w:pPr>
  </w:style>
  <w:style w:type="paragraph" w:styleId="10">
    <w:name w:val="Normal (Web)"/>
    <w:basedOn w:val="1"/>
    <w:next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99"/>
  </w:style>
  <w:style w:type="paragraph" w:customStyle="1" w:styleId="1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2025-07-09T10:23:00Z</dcterms:created>
  <dc:creator>wo</dc:creator>
  <cp:lastModifiedBy>Sunshine</cp:lastModifiedBy>
  <cp:lastPrinted>2026-01-28T07:53:00Z</cp:lastPrinted>
  <dcterms:modified xsi:type="dcterms:W3CDTF">2026-02-10T02:47:24Z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