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C84F4">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eastAsia="zh-CN"/>
        </w:rPr>
      </w:pPr>
    </w:p>
    <w:p w14:paraId="1CB20E45">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eastAsia="zh-CN"/>
        </w:rPr>
      </w:pPr>
    </w:p>
    <w:p w14:paraId="518DB05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highlight w:val="none"/>
          <w:u w:val="none"/>
        </w:rPr>
      </w:pPr>
      <w:r>
        <w:rPr>
          <w:rFonts w:hint="eastAsia" w:ascii="方正小标宋简体" w:hAnsi="方正小标宋简体" w:eastAsia="方正小标宋简体" w:cs="方正小标宋简体"/>
          <w:color w:val="auto"/>
          <w:sz w:val="44"/>
          <w:szCs w:val="44"/>
          <w:highlight w:val="none"/>
          <w:u w:val="none"/>
        </w:rPr>
        <w:t>城镇供热“温暖工程”三年行动方案</w:t>
      </w:r>
    </w:p>
    <w:p w14:paraId="78EEE1C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eastAsia="zh-CN"/>
        </w:rPr>
        <w:t>（</w:t>
      </w:r>
      <w:r>
        <w:rPr>
          <w:rFonts w:hint="eastAsia" w:ascii="方正小标宋简体" w:hAnsi="方正小标宋简体" w:eastAsia="方正小标宋简体" w:cs="方正小标宋简体"/>
          <w:color w:val="auto"/>
          <w:sz w:val="44"/>
          <w:szCs w:val="44"/>
          <w:highlight w:val="none"/>
          <w:u w:val="none"/>
          <w:lang w:val="en-US" w:eastAsia="zh-CN"/>
        </w:rPr>
        <w:t>2026—2028年）</w:t>
      </w:r>
    </w:p>
    <w:p w14:paraId="34389C30">
      <w:pPr>
        <w:keepNext w:val="0"/>
        <w:keepLines w:val="0"/>
        <w:pageBreakBefore w:val="0"/>
        <w:widowControl w:val="0"/>
        <w:kinsoku/>
        <w:wordWrap/>
        <w:overflowPunct/>
        <w:topLinePunct w:val="0"/>
        <w:autoSpaceDE/>
        <w:autoSpaceDN/>
        <w:bidi w:val="0"/>
        <w:adjustRightInd/>
        <w:snapToGrid/>
        <w:spacing w:line="600" w:lineRule="exact"/>
        <w:ind w:firstLine="880" w:firstLineChars="200"/>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14:paraId="4B7EBC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为深入贯彻落实党中央、国务院关于城镇供热的有关决策部署，补齐供热设施和机制建设短板弱项，全面提升城镇供热安全</w:t>
      </w:r>
      <w:bookmarkStart w:id="0" w:name="_GoBack"/>
      <w:bookmarkEnd w:id="0"/>
      <w:r>
        <w:rPr>
          <w:rFonts w:hint="eastAsia" w:ascii="仿宋_GB2312" w:hAnsi="仿宋_GB2312" w:eastAsia="仿宋_GB2312" w:cs="仿宋_GB2312"/>
          <w:color w:val="auto"/>
          <w:sz w:val="32"/>
          <w:szCs w:val="32"/>
          <w:highlight w:val="none"/>
          <w:u w:val="none"/>
          <w:lang w:val="en-US" w:eastAsia="zh-CN"/>
        </w:rPr>
        <w:t>稳定运行能力，切实保障人民群众安全温暖过冬，制定本行动方案。</w:t>
      </w:r>
    </w:p>
    <w:p w14:paraId="320E9E8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0"/>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一、总体要求</w:t>
      </w:r>
    </w:p>
    <w:p w14:paraId="400BDE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eastAsia="仿宋_GB2312"/>
          <w:color w:val="auto"/>
          <w:sz w:val="32"/>
          <w:szCs w:val="32"/>
          <w:highlight w:val="none"/>
          <w:u w:val="none"/>
          <w:lang w:val="en-US" w:eastAsia="zh-CN"/>
        </w:rPr>
        <w:t>坚持</w:t>
      </w:r>
      <w:r>
        <w:rPr>
          <w:rFonts w:hint="eastAsia" w:ascii="仿宋_GB2312" w:eastAsia="仿宋_GB2312"/>
          <w:color w:val="auto"/>
          <w:sz w:val="32"/>
          <w:szCs w:val="32"/>
          <w:highlight w:val="none"/>
          <w:u w:val="none"/>
        </w:rPr>
        <w:t>以习近平新时代中国特色社会主义思想为</w:t>
      </w:r>
      <w:r>
        <w:rPr>
          <w:rFonts w:hint="eastAsia" w:ascii="仿宋_GB2312" w:eastAsia="仿宋_GB2312"/>
          <w:color w:val="auto"/>
          <w:sz w:val="32"/>
          <w:szCs w:val="32"/>
          <w:highlight w:val="none"/>
          <w:u w:val="none"/>
          <w:lang w:val="en-US" w:eastAsia="zh-CN"/>
        </w:rPr>
        <w:t>指导</w:t>
      </w:r>
      <w:r>
        <w:rPr>
          <w:rFonts w:hint="eastAsia" w:ascii="仿宋_GB2312" w:eastAsia="仿宋_GB2312"/>
          <w:color w:val="auto"/>
          <w:sz w:val="32"/>
          <w:szCs w:val="32"/>
          <w:highlight w:val="none"/>
          <w:u w:val="none"/>
        </w:rPr>
        <w:t>，全面贯彻党的二十大以及二十届历次全会精神，</w:t>
      </w:r>
      <w:r>
        <w:rPr>
          <w:rFonts w:hint="eastAsia" w:ascii="仿宋_GB2312" w:eastAsia="仿宋_GB2312"/>
          <w:color w:val="auto"/>
          <w:sz w:val="32"/>
          <w:szCs w:val="32"/>
          <w:highlight w:val="none"/>
          <w:u w:val="none"/>
          <w:lang w:val="en-US" w:eastAsia="zh-CN"/>
        </w:rPr>
        <w:t>深入落实中央城市工作会议有关部署，认真践行人民城市理念，坚持问题导向、目标导向，坚持因地制宜、分类施策，加快供热老化设施设备更新改造</w:t>
      </w:r>
      <w:r>
        <w:rPr>
          <w:rFonts w:hint="eastAsia" w:ascii="仿宋_GB2312" w:hAnsi="仿宋_GB2312" w:eastAsia="仿宋_GB2312" w:cs="仿宋_GB2312"/>
          <w:color w:val="auto"/>
          <w:sz w:val="32"/>
          <w:szCs w:val="32"/>
          <w:highlight w:val="none"/>
          <w:u w:val="none"/>
          <w:lang w:val="en-US" w:eastAsia="zh-CN"/>
        </w:rPr>
        <w:t>，着力增强</w:t>
      </w:r>
      <w:r>
        <w:rPr>
          <w:rFonts w:hint="eastAsia" w:ascii="仿宋_GB2312" w:eastAsia="仿宋_GB2312"/>
          <w:color w:val="auto"/>
          <w:sz w:val="32"/>
          <w:szCs w:val="32"/>
          <w:highlight w:val="none"/>
          <w:u w:val="none"/>
          <w:lang w:val="en-US" w:eastAsia="zh-CN"/>
        </w:rPr>
        <w:t>热源保障能力，建立</w:t>
      </w:r>
      <w:r>
        <w:rPr>
          <w:rFonts w:hint="eastAsia" w:ascii="仿宋_GB2312" w:hAnsi="仿宋_GB2312" w:eastAsia="仿宋_GB2312" w:cs="仿宋_GB2312"/>
          <w:color w:val="auto"/>
          <w:sz w:val="32"/>
          <w:szCs w:val="32"/>
          <w:highlight w:val="none"/>
          <w:u w:val="none"/>
          <w:lang w:val="en-US" w:eastAsia="zh-CN"/>
        </w:rPr>
        <w:t>健全用户服务保障和供热质量监管机制，</w:t>
      </w:r>
      <w:r>
        <w:rPr>
          <w:rFonts w:hint="eastAsia" w:ascii="仿宋_GB2312" w:eastAsia="仿宋_GB2312"/>
          <w:color w:val="auto"/>
          <w:sz w:val="32"/>
          <w:szCs w:val="32"/>
          <w:highlight w:val="none"/>
          <w:u w:val="none"/>
          <w:lang w:val="en-US" w:eastAsia="zh-CN"/>
        </w:rPr>
        <w:t>提高供热系统精细化管理水平。</w:t>
      </w:r>
      <w:r>
        <w:rPr>
          <w:rFonts w:hint="eastAsia" w:ascii="仿宋_GB2312" w:hAnsi="仿宋_GB2312" w:eastAsia="仿宋_GB2312" w:cs="仿宋_GB2312"/>
          <w:color w:val="auto"/>
          <w:sz w:val="32"/>
          <w:szCs w:val="32"/>
          <w:highlight w:val="none"/>
          <w:u w:val="none"/>
          <w:lang w:val="en-US" w:eastAsia="zh-CN"/>
        </w:rPr>
        <w:t>2028年底前，存量供热老化管网更新改造任务取得明显进展，供热保障能力和服务水平全面提升，人民群众获得感、幸福感进一步增强。</w:t>
      </w:r>
    </w:p>
    <w:p w14:paraId="46C4E03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left"/>
        <w:textAlignment w:val="auto"/>
        <w:outlineLvl w:val="0"/>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重点任务</w:t>
      </w:r>
    </w:p>
    <w:p w14:paraId="5BEE56F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楷体_GB2312" w:hAnsi="楷体" w:eastAsia="楷体_GB2312"/>
          <w:color w:val="auto"/>
          <w:sz w:val="32"/>
          <w:szCs w:val="32"/>
          <w:highlight w:val="none"/>
          <w:u w:val="none"/>
          <w:lang w:val="en-US" w:eastAsia="zh-CN"/>
        </w:rPr>
      </w:pPr>
      <w:r>
        <w:rPr>
          <w:rFonts w:hint="eastAsia" w:ascii="楷体_GB2312" w:hAnsi="楷体" w:eastAsia="楷体_GB2312"/>
          <w:color w:val="auto"/>
          <w:sz w:val="32"/>
          <w:szCs w:val="32"/>
          <w:highlight w:val="none"/>
          <w:u w:val="none"/>
          <w:lang w:val="en-US" w:eastAsia="zh-CN"/>
        </w:rPr>
        <w:t>（一）加快推进供热管网建设改造</w:t>
      </w:r>
    </w:p>
    <w:p w14:paraId="46ABF50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1.加强改造项目谋划实施。</w:t>
      </w:r>
      <w:r>
        <w:rPr>
          <w:rFonts w:hint="eastAsia" w:ascii="仿宋_GB2312" w:eastAsia="仿宋_GB2312"/>
          <w:b w:val="0"/>
          <w:bCs w:val="0"/>
          <w:color w:val="auto"/>
          <w:sz w:val="32"/>
          <w:szCs w:val="32"/>
          <w:highlight w:val="none"/>
          <w:u w:val="none"/>
          <w:lang w:val="en-US" w:eastAsia="zh-CN"/>
        </w:rPr>
        <w:t>根据采暖季运行情况，</w:t>
      </w:r>
      <w:r>
        <w:rPr>
          <w:rFonts w:hint="eastAsia" w:ascii="仿宋_GB2312" w:eastAsia="仿宋_GB2312"/>
          <w:color w:val="auto"/>
          <w:sz w:val="32"/>
          <w:szCs w:val="32"/>
          <w:highlight w:val="none"/>
          <w:u w:val="none"/>
          <w:lang w:val="en-US" w:eastAsia="zh-CN"/>
        </w:rPr>
        <w:t>定期开展供热设施设备体检评估，将运行年限满20年，或存在突出风险隐患的供热管网（含市政管网、庭院管网及楼内公共管道）、热力站以及相关配套设施纳入改造计划，加快推进项目开工建设。</w:t>
      </w:r>
      <w:r>
        <w:rPr>
          <w:rFonts w:hint="eastAsia" w:ascii="仿宋_GB2312" w:eastAsia="仿宋_GB2312"/>
          <w:b w:val="0"/>
          <w:bCs w:val="0"/>
          <w:color w:val="auto"/>
          <w:sz w:val="32"/>
          <w:szCs w:val="32"/>
          <w:highlight w:val="none"/>
          <w:u w:val="none"/>
          <w:lang w:val="en-US" w:eastAsia="zh-CN"/>
        </w:rPr>
        <w:t>鼓励对单个供热系统供热面积大于5万平方米的热力站进行优化改造。根据热源分布推动区域供热管网互联互通。</w:t>
      </w:r>
      <w:r>
        <w:rPr>
          <w:rFonts w:hint="eastAsia" w:ascii="仿宋_GB2312" w:eastAsia="仿宋_GB2312"/>
          <w:color w:val="auto"/>
          <w:sz w:val="32"/>
          <w:szCs w:val="32"/>
          <w:highlight w:val="none"/>
          <w:u w:val="none"/>
          <w:lang w:val="en-US" w:eastAsia="zh-CN"/>
        </w:rPr>
        <w:t>及时更新完善城市地下管网管廊及设施建设改造实施方案，明确项目清单和时序。</w:t>
      </w:r>
    </w:p>
    <w:p w14:paraId="59C33B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2.强化工程质量安全监管。</w:t>
      </w:r>
      <w:r>
        <w:rPr>
          <w:rFonts w:hint="eastAsia" w:ascii="仿宋_GB2312" w:eastAsia="仿宋_GB2312"/>
          <w:color w:val="auto"/>
          <w:sz w:val="32"/>
          <w:szCs w:val="32"/>
          <w:highlight w:val="none"/>
          <w:u w:val="none"/>
          <w:lang w:val="en-US" w:eastAsia="zh-CN"/>
        </w:rPr>
        <w:t>完善监管机制，压实各方质量安全责任，重点做好管道按设计选材、安装、验收等关键环节质量安全监管。</w:t>
      </w:r>
      <w:r>
        <w:rPr>
          <w:rFonts w:hint="eastAsia" w:ascii="仿宋_GB2312" w:eastAsia="仿宋_GB2312"/>
          <w:b w:val="0"/>
          <w:bCs w:val="0"/>
          <w:color w:val="auto"/>
          <w:sz w:val="32"/>
          <w:szCs w:val="32"/>
          <w:highlight w:val="none"/>
          <w:u w:val="none"/>
          <w:lang w:val="en-US" w:eastAsia="zh-CN"/>
        </w:rPr>
        <w:t>建设单位</w:t>
      </w:r>
      <w:r>
        <w:rPr>
          <w:rFonts w:hint="eastAsia" w:ascii="仿宋_GB2312" w:eastAsia="仿宋_GB2312"/>
          <w:color w:val="auto"/>
          <w:sz w:val="32"/>
          <w:szCs w:val="32"/>
          <w:highlight w:val="none"/>
          <w:u w:val="none"/>
          <w:lang w:val="en-US" w:eastAsia="zh-CN"/>
        </w:rPr>
        <w:t>应加强供热老化管网改造项目工程质量安全管理，做好建管衔接。改造后的小区居民共有供热设施，依法</w:t>
      </w:r>
      <w:r>
        <w:rPr>
          <w:rFonts w:hint="eastAsia" w:ascii="仿宋_GB2312" w:eastAsia="仿宋_GB2312"/>
          <w:strike w:val="0"/>
          <w:dstrike w:val="0"/>
          <w:color w:val="auto"/>
          <w:sz w:val="32"/>
          <w:szCs w:val="32"/>
          <w:highlight w:val="none"/>
          <w:u w:val="none"/>
          <w:lang w:val="en-US" w:eastAsia="zh-CN"/>
        </w:rPr>
        <w:t>依规</w:t>
      </w:r>
      <w:r>
        <w:rPr>
          <w:rFonts w:hint="eastAsia" w:ascii="仿宋_GB2312" w:eastAsia="仿宋_GB2312"/>
          <w:color w:val="auto"/>
          <w:sz w:val="32"/>
          <w:szCs w:val="32"/>
          <w:highlight w:val="none"/>
          <w:u w:val="none"/>
          <w:lang w:val="en-US" w:eastAsia="zh-CN"/>
        </w:rPr>
        <w:t>移交供热企业管理的，相关维修维护等</w:t>
      </w:r>
      <w:r>
        <w:rPr>
          <w:rFonts w:hint="eastAsia" w:ascii="仿宋_GB2312" w:eastAsia="仿宋_GB2312"/>
          <w:color w:val="auto"/>
          <w:sz w:val="32"/>
          <w:szCs w:val="32"/>
          <w:highlight w:val="none"/>
          <w:u w:val="none"/>
        </w:rPr>
        <w:t>费用由供热</w:t>
      </w:r>
      <w:r>
        <w:rPr>
          <w:rFonts w:hint="eastAsia" w:ascii="仿宋_GB2312" w:eastAsia="仿宋_GB2312"/>
          <w:color w:val="auto"/>
          <w:sz w:val="32"/>
          <w:szCs w:val="32"/>
          <w:highlight w:val="none"/>
          <w:u w:val="none"/>
          <w:lang w:val="en-US" w:eastAsia="zh-CN"/>
        </w:rPr>
        <w:t>企业</w:t>
      </w:r>
      <w:r>
        <w:rPr>
          <w:rFonts w:hint="eastAsia" w:ascii="仿宋_GB2312" w:eastAsia="仿宋_GB2312"/>
          <w:color w:val="auto"/>
          <w:sz w:val="32"/>
          <w:szCs w:val="32"/>
          <w:highlight w:val="none"/>
          <w:u w:val="none"/>
        </w:rPr>
        <w:t>承担，纳入企业</w:t>
      </w:r>
      <w:r>
        <w:rPr>
          <w:rFonts w:hint="eastAsia" w:ascii="仿宋_GB2312" w:eastAsia="仿宋_GB2312"/>
          <w:strike w:val="0"/>
          <w:dstrike w:val="0"/>
          <w:color w:val="auto"/>
          <w:sz w:val="32"/>
          <w:szCs w:val="32"/>
          <w:highlight w:val="none"/>
          <w:u w:val="none"/>
        </w:rPr>
        <w:t>经营</w:t>
      </w:r>
      <w:r>
        <w:rPr>
          <w:rFonts w:hint="eastAsia" w:ascii="仿宋_GB2312" w:eastAsia="仿宋_GB2312"/>
          <w:color w:val="auto"/>
          <w:sz w:val="32"/>
          <w:szCs w:val="32"/>
          <w:highlight w:val="none"/>
          <w:u w:val="none"/>
        </w:rPr>
        <w:t>成本</w:t>
      </w:r>
      <w:r>
        <w:rPr>
          <w:rFonts w:hint="eastAsia" w:ascii="仿宋_GB2312" w:eastAsia="仿宋_GB2312"/>
          <w:color w:val="auto"/>
          <w:sz w:val="32"/>
          <w:szCs w:val="32"/>
          <w:highlight w:val="none"/>
          <w:u w:val="none"/>
          <w:lang w:eastAsia="zh-CN"/>
        </w:rPr>
        <w:t>。</w:t>
      </w:r>
    </w:p>
    <w:p w14:paraId="675E57F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3.提高“冬病夏治”工作成效。</w:t>
      </w:r>
      <w:r>
        <w:rPr>
          <w:rFonts w:hint="eastAsia" w:ascii="仿宋_GB2312" w:eastAsia="仿宋_GB2312"/>
          <w:b w:val="0"/>
          <w:bCs w:val="0"/>
          <w:color w:val="auto"/>
          <w:sz w:val="32"/>
          <w:szCs w:val="32"/>
          <w:highlight w:val="none"/>
          <w:u w:val="none"/>
          <w:lang w:val="en-US" w:eastAsia="zh-CN"/>
        </w:rPr>
        <w:t>采暖季结束后，供热企业要根据供热系统运行情况，制定检修维护方案，建立问题整治清单。充分利用非采暖季，全面开展设施设备检修养护及更新改造，及时消除风险隐患。各地供热主管部门要加强跟踪指导，推动问题有效解决。热电企业要结合电力保供等工作实际，加强供热相关设施设备检修维护。</w:t>
      </w:r>
    </w:p>
    <w:p w14:paraId="5C9504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jc w:val="left"/>
        <w:textAlignment w:val="auto"/>
        <w:outlineLvl w:val="1"/>
        <w:rPr>
          <w:rFonts w:hint="eastAsia" w:ascii="楷体_GB2312" w:hAnsi="楷体" w:eastAsia="楷体_GB2312"/>
          <w:color w:val="auto"/>
          <w:sz w:val="32"/>
          <w:szCs w:val="32"/>
          <w:highlight w:val="none"/>
          <w:u w:val="none"/>
          <w:lang w:eastAsia="zh-CN"/>
        </w:rPr>
      </w:pPr>
      <w:r>
        <w:rPr>
          <w:rFonts w:hint="eastAsia" w:ascii="楷体_GB2312" w:hAnsi="楷体" w:eastAsia="楷体_GB2312"/>
          <w:color w:val="auto"/>
          <w:sz w:val="32"/>
          <w:szCs w:val="32"/>
          <w:highlight w:val="none"/>
          <w:u w:val="none"/>
          <w:lang w:val="en-US" w:eastAsia="zh-CN"/>
        </w:rPr>
        <w:t>（二）</w:t>
      </w:r>
      <w:r>
        <w:rPr>
          <w:rFonts w:hint="eastAsia" w:ascii="楷体_GB2312" w:hAnsi="楷体" w:eastAsia="楷体_GB2312"/>
          <w:color w:val="auto"/>
          <w:sz w:val="32"/>
          <w:szCs w:val="32"/>
          <w:highlight w:val="none"/>
          <w:u w:val="none"/>
          <w:lang w:eastAsia="zh-CN"/>
        </w:rPr>
        <w:t>全面提升热源保障能力</w:t>
      </w:r>
    </w:p>
    <w:p w14:paraId="18E142F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黑体" w:hAnsi="黑体" w:eastAsia="黑体" w:cs="黑体"/>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1.强化热电联产供热保障。</w:t>
      </w:r>
      <w:r>
        <w:rPr>
          <w:rFonts w:hint="eastAsia" w:ascii="仿宋_GB2312" w:eastAsia="仿宋_GB2312"/>
          <w:b w:val="0"/>
          <w:bCs w:val="0"/>
          <w:color w:val="auto"/>
          <w:sz w:val="32"/>
          <w:szCs w:val="32"/>
          <w:highlight w:val="none"/>
          <w:u w:val="none"/>
          <w:lang w:val="en-US" w:eastAsia="zh-CN"/>
        </w:rPr>
        <w:t>有序推动热电机组建设投产和改造升级，深入推进余热深度回收利用。结合电力系统调节需求，在不影响供热前提下开展热电联产机组热电解耦，</w:t>
      </w:r>
      <w:r>
        <w:rPr>
          <w:rFonts w:hint="eastAsia" w:ascii="仿宋_GB2312" w:eastAsia="仿宋_GB2312"/>
          <w:color w:val="auto"/>
          <w:sz w:val="32"/>
          <w:szCs w:val="32"/>
          <w:highlight w:val="none"/>
          <w:u w:val="none"/>
          <w:lang w:val="en-US" w:eastAsia="zh-CN"/>
        </w:rPr>
        <w:t>推进热电协同发展，</w:t>
      </w:r>
      <w:r>
        <w:rPr>
          <w:rFonts w:hint="eastAsia" w:ascii="仿宋_GB2312" w:eastAsia="仿宋_GB2312"/>
          <w:b w:val="0"/>
          <w:bCs w:val="0"/>
          <w:color w:val="auto"/>
          <w:sz w:val="32"/>
          <w:szCs w:val="32"/>
          <w:highlight w:val="none"/>
          <w:u w:val="none"/>
          <w:lang w:val="en-US" w:eastAsia="zh-CN"/>
        </w:rPr>
        <w:t>确保采暖季稳定供热</w:t>
      </w:r>
      <w:r>
        <w:rPr>
          <w:rFonts w:hint="eastAsia" w:ascii="仿宋_GB2312" w:eastAsia="仿宋_GB2312"/>
          <w:strike w:val="0"/>
          <w:dstrike w:val="0"/>
          <w:color w:val="auto"/>
          <w:sz w:val="32"/>
          <w:szCs w:val="32"/>
          <w:highlight w:val="none"/>
          <w:u w:val="none"/>
          <w:lang w:val="en-US" w:eastAsia="zh-CN"/>
        </w:rPr>
        <w:t>。推动煤电与新能源融合发展，支持供热煤电机组融合近区新能源供热。有条件地区可推动生物质发电机组供热应用。</w:t>
      </w:r>
    </w:p>
    <w:p w14:paraId="0D69BD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default" w:ascii="仿宋_GB2312" w:eastAsia="仿宋_GB2312"/>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2.推进供热锅炉提质增效。</w:t>
      </w:r>
      <w:r>
        <w:rPr>
          <w:rFonts w:hint="eastAsia" w:ascii="仿宋_GB2312" w:eastAsia="仿宋_GB2312"/>
          <w:b w:val="0"/>
          <w:bCs w:val="0"/>
          <w:color w:val="auto"/>
          <w:sz w:val="32"/>
          <w:szCs w:val="32"/>
          <w:highlight w:val="none"/>
          <w:u w:val="none"/>
          <w:lang w:val="en-US" w:eastAsia="zh-CN"/>
        </w:rPr>
        <w:t>加快推动</w:t>
      </w:r>
      <w:r>
        <w:rPr>
          <w:rFonts w:hint="eastAsia" w:ascii="仿宋_GB2312" w:eastAsia="仿宋_GB2312"/>
          <w:color w:val="auto"/>
          <w:sz w:val="32"/>
          <w:szCs w:val="32"/>
          <w:highlight w:val="none"/>
          <w:u w:val="none"/>
          <w:lang w:val="en-US" w:eastAsia="zh-CN"/>
        </w:rPr>
        <w:t>超过使用寿命、能效等级不满足现行标准要求的供热锅炉及配套设备更新改造。有序推进锅炉烟气余热回收利用，因地制宜推进供热锅炉建设，保障区域供热需求。具备条件地区，可应用风光发电耦合蓄热式电锅炉，提升新能源消纳水平。</w:t>
      </w:r>
    </w:p>
    <w:p w14:paraId="0F98A7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3.加强工业余热供热应用。</w:t>
      </w:r>
      <w:r>
        <w:rPr>
          <w:rFonts w:hint="eastAsia" w:ascii="仿宋_GB2312" w:eastAsia="仿宋_GB2312"/>
          <w:b w:val="0"/>
          <w:bCs w:val="0"/>
          <w:color w:val="auto"/>
          <w:sz w:val="32"/>
          <w:szCs w:val="32"/>
          <w:highlight w:val="none"/>
          <w:u w:val="none"/>
          <w:lang w:val="en-US" w:eastAsia="zh-CN"/>
        </w:rPr>
        <w:t>组织开展</w:t>
      </w:r>
      <w:r>
        <w:rPr>
          <w:rFonts w:hint="eastAsia" w:ascii="仿宋_GB2312" w:eastAsia="仿宋_GB2312"/>
          <w:color w:val="auto"/>
          <w:sz w:val="32"/>
          <w:szCs w:val="32"/>
          <w:highlight w:val="none"/>
          <w:u w:val="none"/>
          <w:lang w:val="en-US" w:eastAsia="zh-CN"/>
        </w:rPr>
        <w:t>工业余热资源调查，根据用热区域布局合理匹配应用工业余热供热。</w:t>
      </w:r>
      <w:r>
        <w:rPr>
          <w:rFonts w:hint="eastAsia" w:ascii="仿宋_GB2312" w:eastAsia="仿宋_GB2312"/>
          <w:b w:val="0"/>
          <w:bCs w:val="0"/>
          <w:color w:val="auto"/>
          <w:sz w:val="32"/>
          <w:szCs w:val="32"/>
          <w:highlight w:val="none"/>
          <w:u w:val="none"/>
          <w:lang w:val="en-US" w:eastAsia="zh-CN"/>
        </w:rPr>
        <w:t>鼓励有条件的工业企业、园区应用工业热泵回收利用工业废水、废气等余热。</w:t>
      </w:r>
      <w:r>
        <w:rPr>
          <w:rFonts w:hint="eastAsia" w:ascii="仿宋_GB2312" w:eastAsia="仿宋_GB2312"/>
          <w:color w:val="auto"/>
          <w:sz w:val="32"/>
          <w:szCs w:val="32"/>
          <w:highlight w:val="none"/>
          <w:u w:val="none"/>
          <w:lang w:val="en-US" w:eastAsia="zh-CN"/>
        </w:rPr>
        <w:t>完善促进余热供热应用的技术标准和产业引导政策。</w:t>
      </w:r>
    </w:p>
    <w:p w14:paraId="010CF3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hAnsi="仿宋_GB2312" w:eastAsia="仿宋_GB2312" w:cs="仿宋_GB2312"/>
          <w:i/>
          <w:iCs/>
          <w:strike w:val="0"/>
          <w:dstrike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4.推进非化石能源供热应用。</w:t>
      </w:r>
      <w:r>
        <w:rPr>
          <w:rFonts w:hint="eastAsia" w:ascii="仿宋_GB2312" w:eastAsia="仿宋_GB2312"/>
          <w:color w:val="auto"/>
          <w:sz w:val="32"/>
          <w:szCs w:val="32"/>
          <w:highlight w:val="none"/>
          <w:u w:val="none"/>
          <w:lang w:val="en-US" w:eastAsia="zh-CN"/>
        </w:rPr>
        <w:t>统筹考虑可再生能源、核能等资源利用条件和经济性，在热源建设改造时推广</w:t>
      </w:r>
      <w:r>
        <w:rPr>
          <w:rFonts w:hint="eastAsia" w:ascii="仿宋_GB2312" w:eastAsia="仿宋_GB2312"/>
          <w:b w:val="0"/>
          <w:bCs w:val="0"/>
          <w:color w:val="auto"/>
          <w:sz w:val="32"/>
          <w:szCs w:val="32"/>
          <w:highlight w:val="none"/>
          <w:u w:val="none"/>
          <w:lang w:val="en-US" w:eastAsia="zh-CN"/>
        </w:rPr>
        <w:t>非化石能源</w:t>
      </w:r>
      <w:r>
        <w:rPr>
          <w:rFonts w:hint="eastAsia" w:ascii="仿宋_GB2312" w:eastAsia="仿宋_GB2312"/>
          <w:color w:val="auto"/>
          <w:sz w:val="32"/>
          <w:szCs w:val="32"/>
          <w:highlight w:val="none"/>
          <w:u w:val="none"/>
          <w:lang w:val="en-US" w:eastAsia="zh-CN"/>
        </w:rPr>
        <w:t>供热。强化清洁热源能力与用热需求匹配，合理布局建设储热设施。</w:t>
      </w:r>
      <w:r>
        <w:rPr>
          <w:rFonts w:hint="eastAsia" w:ascii="仿宋_GB2312" w:eastAsia="仿宋_GB2312"/>
          <w:b w:val="0"/>
          <w:bCs w:val="0"/>
          <w:color w:val="auto"/>
          <w:sz w:val="32"/>
          <w:szCs w:val="32"/>
          <w:highlight w:val="none"/>
          <w:u w:val="none"/>
          <w:lang w:val="en-US" w:eastAsia="zh-CN"/>
        </w:rPr>
        <w:t>鼓励实施热源多能耦合</w:t>
      </w:r>
      <w:r>
        <w:rPr>
          <w:rFonts w:hint="eastAsia" w:ascii="仿宋_GB2312" w:eastAsia="仿宋_GB2312"/>
          <w:color w:val="auto"/>
          <w:sz w:val="32"/>
          <w:szCs w:val="32"/>
          <w:highlight w:val="none"/>
          <w:u w:val="none"/>
          <w:lang w:val="en-US" w:eastAsia="zh-CN"/>
        </w:rPr>
        <w:t>。</w:t>
      </w:r>
    </w:p>
    <w:p w14:paraId="0E27FF4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5.完善民生</w:t>
      </w:r>
      <w:r>
        <w:rPr>
          <w:rFonts w:hint="default" w:ascii="仿宋_GB2312" w:eastAsia="仿宋_GB2312"/>
          <w:b/>
          <w:bCs/>
          <w:color w:val="auto"/>
          <w:sz w:val="32"/>
          <w:szCs w:val="32"/>
          <w:highlight w:val="none"/>
          <w:u w:val="none"/>
          <w:lang w:val="en-US" w:eastAsia="zh-CN"/>
        </w:rPr>
        <w:t>供热燃料保障机制</w:t>
      </w:r>
      <w:r>
        <w:rPr>
          <w:rFonts w:hint="eastAsia" w:ascii="仿宋_GB2312" w:eastAsia="仿宋_GB2312"/>
          <w:b/>
          <w:bCs/>
          <w:color w:val="auto"/>
          <w:sz w:val="32"/>
          <w:szCs w:val="32"/>
          <w:highlight w:val="none"/>
          <w:u w:val="none"/>
          <w:lang w:val="en-US" w:eastAsia="zh-CN"/>
        </w:rPr>
        <w:t>。</w:t>
      </w:r>
      <w:r>
        <w:rPr>
          <w:rFonts w:hint="eastAsia" w:ascii="仿宋_GB2312" w:eastAsia="仿宋_GB2312"/>
          <w:b w:val="0"/>
          <w:bCs w:val="0"/>
          <w:color w:val="auto"/>
          <w:sz w:val="32"/>
          <w:szCs w:val="32"/>
          <w:highlight w:val="none"/>
          <w:u w:val="none"/>
          <w:lang w:val="en-US" w:eastAsia="zh-CN"/>
        </w:rPr>
        <w:t>有关地区应制定供热用煤炭、</w:t>
      </w:r>
      <w:r>
        <w:rPr>
          <w:rFonts w:hint="default" w:ascii="仿宋_GB2312" w:eastAsia="仿宋_GB2312"/>
          <w:b w:val="0"/>
          <w:bCs w:val="0"/>
          <w:color w:val="auto"/>
          <w:sz w:val="32"/>
          <w:szCs w:val="32"/>
          <w:highlight w:val="none"/>
          <w:u w:val="none"/>
          <w:lang w:val="en-US" w:eastAsia="zh-CN"/>
        </w:rPr>
        <w:t>天然气</w:t>
      </w:r>
      <w:r>
        <w:rPr>
          <w:rFonts w:hint="eastAsia" w:ascii="仿宋_GB2312" w:eastAsia="仿宋_GB2312"/>
          <w:b w:val="0"/>
          <w:bCs w:val="0"/>
          <w:color w:val="auto"/>
          <w:sz w:val="32"/>
          <w:szCs w:val="32"/>
          <w:highlight w:val="none"/>
          <w:u w:val="none"/>
          <w:lang w:val="en-US" w:eastAsia="zh-CN"/>
        </w:rPr>
        <w:t>保供方案，强化民生供暖用能保</w:t>
      </w:r>
      <w:r>
        <w:rPr>
          <w:rFonts w:hint="eastAsia" w:ascii="仿宋_GB2312" w:eastAsia="仿宋_GB2312"/>
          <w:color w:val="auto"/>
          <w:sz w:val="32"/>
          <w:szCs w:val="32"/>
          <w:highlight w:val="none"/>
          <w:u w:val="none"/>
          <w:lang w:val="en-US" w:eastAsia="zh-CN"/>
        </w:rPr>
        <w:t>障，努力降低燃料成本。</w:t>
      </w:r>
      <w:r>
        <w:rPr>
          <w:rFonts w:hint="eastAsia" w:ascii="仿宋_GB2312" w:eastAsia="仿宋_GB2312"/>
          <w:b w:val="0"/>
          <w:bCs w:val="0"/>
          <w:color w:val="auto"/>
          <w:sz w:val="32"/>
          <w:szCs w:val="32"/>
          <w:highlight w:val="none"/>
          <w:u w:val="none"/>
          <w:lang w:val="en-US" w:eastAsia="zh-CN"/>
        </w:rPr>
        <w:t>加强供热用能应急保障。</w:t>
      </w:r>
    </w:p>
    <w:p w14:paraId="33F6ED7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default" w:ascii="楷体_GB2312" w:hAnsi="楷体" w:eastAsia="楷体_GB2312"/>
          <w:color w:val="auto"/>
          <w:sz w:val="32"/>
          <w:szCs w:val="32"/>
          <w:highlight w:val="none"/>
          <w:u w:val="none"/>
          <w:lang w:val="en-US" w:eastAsia="zh-CN"/>
        </w:rPr>
      </w:pPr>
      <w:r>
        <w:rPr>
          <w:rFonts w:hint="eastAsia" w:ascii="楷体_GB2312" w:hAnsi="楷体" w:eastAsia="楷体_GB2312"/>
          <w:color w:val="auto"/>
          <w:sz w:val="32"/>
          <w:szCs w:val="32"/>
          <w:highlight w:val="none"/>
          <w:u w:val="none"/>
        </w:rPr>
        <w:t>（</w:t>
      </w:r>
      <w:r>
        <w:rPr>
          <w:rFonts w:hint="eastAsia" w:ascii="楷体_GB2312" w:hAnsi="楷体" w:eastAsia="楷体_GB2312"/>
          <w:color w:val="auto"/>
          <w:sz w:val="32"/>
          <w:szCs w:val="32"/>
          <w:highlight w:val="none"/>
          <w:u w:val="none"/>
          <w:lang w:val="en-US" w:eastAsia="zh-CN"/>
        </w:rPr>
        <w:t>三</w:t>
      </w:r>
      <w:r>
        <w:rPr>
          <w:rFonts w:hint="eastAsia" w:ascii="楷体_GB2312" w:hAnsi="楷体" w:eastAsia="楷体_GB2312"/>
          <w:color w:val="auto"/>
          <w:sz w:val="32"/>
          <w:szCs w:val="32"/>
          <w:highlight w:val="none"/>
          <w:u w:val="none"/>
        </w:rPr>
        <w:t>）</w:t>
      </w:r>
      <w:r>
        <w:rPr>
          <w:rFonts w:hint="eastAsia" w:ascii="楷体_GB2312" w:hAnsi="楷体" w:eastAsia="楷体_GB2312"/>
          <w:color w:val="auto"/>
          <w:sz w:val="32"/>
          <w:szCs w:val="32"/>
          <w:highlight w:val="none"/>
          <w:u w:val="none"/>
          <w:lang w:val="en-US" w:eastAsia="zh-CN"/>
        </w:rPr>
        <w:t>提高供热系统精细化管理水平</w:t>
      </w:r>
    </w:p>
    <w:p w14:paraId="4949EA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1.提升供热系统运行调控能力。</w:t>
      </w:r>
      <w:r>
        <w:rPr>
          <w:rFonts w:hint="eastAsia" w:ascii="仿宋_GB2312" w:eastAsia="仿宋_GB2312"/>
          <w:b w:val="0"/>
          <w:bCs w:val="0"/>
          <w:color w:val="auto"/>
          <w:sz w:val="32"/>
          <w:szCs w:val="32"/>
          <w:highlight w:val="none"/>
          <w:u w:val="none"/>
          <w:lang w:val="en-US" w:eastAsia="zh-CN"/>
        </w:rPr>
        <w:t>编制《城镇供热工程智能化技术标准》等相关标准，指导供热企业运用大数据、人工智能等技术，加快供热系统智能化改造升级，推动系统均衡、高效供热。结合供热老化管网改造项目，加强热源、热网、热力站、楼栋的智能感知调控和计量装置应用。</w:t>
      </w:r>
    </w:p>
    <w:p w14:paraId="694CEAD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eastAsia="仿宋_GB2312"/>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2.加强供热特种设备和计量器具监管。</w:t>
      </w:r>
      <w:r>
        <w:rPr>
          <w:rFonts w:hint="eastAsia" w:ascii="仿宋_GB2312" w:eastAsia="仿宋_GB2312"/>
          <w:b w:val="0"/>
          <w:bCs w:val="0"/>
          <w:color w:val="auto"/>
          <w:sz w:val="32"/>
          <w:szCs w:val="32"/>
          <w:highlight w:val="none"/>
          <w:u w:val="none"/>
          <w:lang w:val="en-US" w:eastAsia="zh-CN"/>
        </w:rPr>
        <w:t>加强压力管道、承压锅炉等特种设备安全监管，发现不符合特种设备相关法规规范的要依法予以查处，督促企业按要求开展检验检测和能效测试，提升设备运行管理水平。加强供热计量器具监管模式研究，结合实际优化计量器具量值溯源要求。</w:t>
      </w:r>
    </w:p>
    <w:p w14:paraId="4AAC0A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b w:val="0"/>
          <w:bCs w:val="0"/>
          <w:color w:val="auto"/>
          <w:sz w:val="32"/>
          <w:szCs w:val="32"/>
          <w:highlight w:val="none"/>
          <w:u w:val="none"/>
          <w:lang w:val="en-US" w:eastAsia="zh-CN"/>
        </w:rPr>
      </w:pPr>
      <w:r>
        <w:rPr>
          <w:rFonts w:hint="eastAsia" w:ascii="仿宋_GB2312" w:eastAsia="仿宋_GB2312"/>
          <w:b/>
          <w:bCs/>
          <w:color w:val="auto"/>
          <w:sz w:val="32"/>
          <w:szCs w:val="32"/>
          <w:highlight w:val="none"/>
          <w:u w:val="none"/>
          <w:lang w:val="en-US" w:eastAsia="zh-CN"/>
        </w:rPr>
        <w:t>3.提升供热应急保障能力。</w:t>
      </w:r>
      <w:r>
        <w:rPr>
          <w:rFonts w:hint="eastAsia" w:ascii="仿宋_GB2312" w:eastAsia="仿宋_GB2312"/>
          <w:b w:val="0"/>
          <w:bCs w:val="0"/>
          <w:color w:val="auto"/>
          <w:sz w:val="32"/>
          <w:szCs w:val="32"/>
          <w:highlight w:val="none"/>
          <w:u w:val="none"/>
          <w:lang w:val="en-US" w:eastAsia="zh-CN"/>
        </w:rPr>
        <w:t>根据城市用热负荷和气候特点，科学配置应急热源类型和规模。有条件的可配置移动应急热源。完善城市供热突发事件应急预案，加强应急抢修队伍建设，强化应急演练和物资储备，提高应急处置能力。建立健全气象会商机制，提高极端天气供热保障能力。</w:t>
      </w:r>
    </w:p>
    <w:p w14:paraId="5FC3A08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楷体_GB2312" w:hAnsi="楷体" w:eastAsia="楷体_GB2312"/>
          <w:color w:val="auto"/>
          <w:sz w:val="32"/>
          <w:szCs w:val="32"/>
          <w:highlight w:val="none"/>
          <w:u w:val="none"/>
          <w:lang w:eastAsia="zh-CN"/>
        </w:rPr>
      </w:pPr>
      <w:r>
        <w:rPr>
          <w:rFonts w:hint="eastAsia" w:ascii="仿宋_GB2312" w:eastAsia="仿宋_GB2312"/>
          <w:b/>
          <w:bCs/>
          <w:color w:val="auto"/>
          <w:sz w:val="32"/>
          <w:szCs w:val="32"/>
          <w:highlight w:val="none"/>
          <w:u w:val="none"/>
          <w:lang w:val="en-US" w:eastAsia="zh-CN"/>
        </w:rPr>
        <w:t>4.推进供热系统节能降碳。</w:t>
      </w:r>
      <w:r>
        <w:rPr>
          <w:rFonts w:hint="eastAsia" w:ascii="仿宋_GB2312" w:eastAsia="仿宋_GB2312"/>
          <w:b w:val="0"/>
          <w:bCs w:val="0"/>
          <w:color w:val="auto"/>
          <w:sz w:val="32"/>
          <w:szCs w:val="32"/>
          <w:highlight w:val="none"/>
          <w:u w:val="none"/>
          <w:lang w:val="en-US" w:eastAsia="zh-CN"/>
        </w:rPr>
        <w:t>结合实施城市更新和清洁取暖等工作，推动既有建筑节能改造，持续提升建筑</w:t>
      </w:r>
      <w:r>
        <w:rPr>
          <w:rFonts w:hint="eastAsia" w:ascii="仿宋_GB2312" w:eastAsia="仿宋_GB2312"/>
          <w:b w:val="0"/>
          <w:bCs w:val="0"/>
          <w:strike w:val="0"/>
          <w:dstrike w:val="0"/>
          <w:color w:val="auto"/>
          <w:sz w:val="32"/>
          <w:szCs w:val="32"/>
          <w:highlight w:val="none"/>
          <w:u w:val="none"/>
          <w:lang w:val="en-US" w:eastAsia="zh-CN"/>
        </w:rPr>
        <w:t>能效</w:t>
      </w:r>
      <w:r>
        <w:rPr>
          <w:rFonts w:hint="eastAsia" w:ascii="仿宋_GB2312" w:eastAsia="仿宋_GB2312"/>
          <w:b w:val="0"/>
          <w:bCs w:val="0"/>
          <w:color w:val="auto"/>
          <w:sz w:val="32"/>
          <w:szCs w:val="32"/>
          <w:highlight w:val="none"/>
          <w:u w:val="none"/>
          <w:lang w:val="en-US" w:eastAsia="zh-CN"/>
        </w:rPr>
        <w:t>水平。鼓励对老旧小区户用散热器、门窗等设施设备更新改造给予支持。在老化供热管网改造中，优先选用耐腐蚀的新型管材及高性能保温材料，降低管网热损失。同步加强节水、节电管理。</w:t>
      </w:r>
    </w:p>
    <w:p w14:paraId="4809A70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楷体_GB2312" w:hAnsi="楷体" w:eastAsia="楷体_GB2312"/>
          <w:color w:val="auto"/>
          <w:sz w:val="32"/>
          <w:szCs w:val="32"/>
          <w:highlight w:val="none"/>
          <w:u w:val="none"/>
          <w:lang w:eastAsia="zh-CN"/>
        </w:rPr>
      </w:pPr>
      <w:r>
        <w:rPr>
          <w:rFonts w:hint="eastAsia" w:ascii="楷体_GB2312" w:hAnsi="楷体" w:eastAsia="楷体_GB2312"/>
          <w:color w:val="auto"/>
          <w:sz w:val="32"/>
          <w:szCs w:val="32"/>
          <w:highlight w:val="none"/>
          <w:u w:val="none"/>
          <w:lang w:eastAsia="zh-CN"/>
        </w:rPr>
        <w:t>（</w:t>
      </w:r>
      <w:r>
        <w:rPr>
          <w:rFonts w:hint="eastAsia" w:ascii="楷体_GB2312" w:hAnsi="楷体" w:eastAsia="楷体_GB2312"/>
          <w:color w:val="auto"/>
          <w:sz w:val="32"/>
          <w:szCs w:val="32"/>
          <w:highlight w:val="none"/>
          <w:u w:val="none"/>
          <w:lang w:val="en-US" w:eastAsia="zh-CN"/>
        </w:rPr>
        <w:t>四</w:t>
      </w:r>
      <w:r>
        <w:rPr>
          <w:rFonts w:hint="eastAsia" w:ascii="楷体_GB2312" w:hAnsi="楷体" w:eastAsia="楷体_GB2312"/>
          <w:color w:val="auto"/>
          <w:sz w:val="32"/>
          <w:szCs w:val="32"/>
          <w:highlight w:val="none"/>
          <w:u w:val="none"/>
          <w:lang w:eastAsia="zh-CN"/>
        </w:rPr>
        <w:t>）着力提升</w:t>
      </w:r>
      <w:r>
        <w:rPr>
          <w:rFonts w:hint="eastAsia" w:ascii="楷体_GB2312" w:hAnsi="楷体" w:eastAsia="楷体_GB2312"/>
          <w:color w:val="auto"/>
          <w:sz w:val="32"/>
          <w:szCs w:val="32"/>
          <w:highlight w:val="none"/>
          <w:u w:val="none"/>
        </w:rPr>
        <w:t>供热服务</w:t>
      </w:r>
      <w:r>
        <w:rPr>
          <w:rFonts w:hint="eastAsia" w:ascii="楷体_GB2312" w:hAnsi="楷体" w:eastAsia="楷体_GB2312"/>
          <w:color w:val="auto"/>
          <w:sz w:val="32"/>
          <w:szCs w:val="32"/>
          <w:highlight w:val="none"/>
          <w:u w:val="none"/>
          <w:lang w:eastAsia="zh-CN"/>
        </w:rPr>
        <w:t>质量</w:t>
      </w:r>
    </w:p>
    <w:p w14:paraId="5C398B9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1.提高采暖季供热质量</w:t>
      </w:r>
      <w:r>
        <w:rPr>
          <w:rFonts w:hint="eastAsia" w:ascii="仿宋_GB2312" w:eastAsia="仿宋_GB2312"/>
          <w:b/>
          <w:bCs/>
          <w:color w:val="auto"/>
          <w:sz w:val="32"/>
          <w:szCs w:val="32"/>
          <w:highlight w:val="none"/>
          <w:u w:val="none"/>
          <w:lang w:eastAsia="zh-CN"/>
        </w:rPr>
        <w:t>。</w:t>
      </w:r>
      <w:r>
        <w:rPr>
          <w:rFonts w:hint="eastAsia" w:ascii="仿宋_GB2312" w:eastAsia="仿宋_GB2312"/>
          <w:color w:val="auto"/>
          <w:sz w:val="32"/>
          <w:szCs w:val="32"/>
          <w:highlight w:val="none"/>
          <w:u w:val="none"/>
          <w:lang w:eastAsia="zh-CN"/>
        </w:rPr>
        <w:t>供热企业、热电企业在采暖季</w:t>
      </w:r>
      <w:r>
        <w:rPr>
          <w:rFonts w:hint="eastAsia" w:ascii="仿宋_GB2312" w:eastAsia="仿宋_GB2312"/>
          <w:color w:val="auto"/>
          <w:sz w:val="32"/>
          <w:szCs w:val="32"/>
          <w:highlight w:val="none"/>
          <w:u w:val="none"/>
        </w:rPr>
        <w:t>前</w:t>
      </w:r>
      <w:r>
        <w:rPr>
          <w:rFonts w:hint="eastAsia" w:ascii="仿宋_GB2312" w:eastAsia="仿宋_GB2312"/>
          <w:color w:val="auto"/>
          <w:sz w:val="32"/>
          <w:szCs w:val="32"/>
          <w:highlight w:val="none"/>
          <w:u w:val="none"/>
          <w:lang w:eastAsia="zh-CN"/>
        </w:rPr>
        <w:t>，要强化</w:t>
      </w:r>
      <w:r>
        <w:rPr>
          <w:rFonts w:hint="eastAsia" w:ascii="仿宋_GB2312" w:eastAsia="仿宋_GB2312"/>
          <w:color w:val="auto"/>
          <w:sz w:val="32"/>
          <w:szCs w:val="32"/>
          <w:highlight w:val="none"/>
          <w:u w:val="none"/>
        </w:rPr>
        <w:t>供热准备</w:t>
      </w:r>
      <w:r>
        <w:rPr>
          <w:rFonts w:hint="eastAsia" w:ascii="仿宋_GB2312" w:eastAsia="仿宋_GB2312"/>
          <w:color w:val="auto"/>
          <w:sz w:val="32"/>
          <w:szCs w:val="32"/>
          <w:highlight w:val="none"/>
          <w:u w:val="none"/>
          <w:lang w:val="en-US" w:eastAsia="zh-CN"/>
        </w:rPr>
        <w:t>和用能储备</w:t>
      </w:r>
      <w:r>
        <w:rPr>
          <w:rFonts w:hint="eastAsia" w:ascii="仿宋_GB2312" w:eastAsia="仿宋_GB2312"/>
          <w:color w:val="auto"/>
          <w:sz w:val="32"/>
          <w:szCs w:val="32"/>
          <w:highlight w:val="none"/>
          <w:u w:val="none"/>
        </w:rPr>
        <w:t>，提前开展</w:t>
      </w:r>
      <w:r>
        <w:rPr>
          <w:rFonts w:hint="eastAsia" w:ascii="仿宋_GB2312" w:eastAsia="仿宋_GB2312"/>
          <w:color w:val="auto"/>
          <w:sz w:val="32"/>
          <w:szCs w:val="32"/>
          <w:highlight w:val="none"/>
          <w:u w:val="none"/>
          <w:lang w:val="en-US" w:eastAsia="zh-CN"/>
        </w:rPr>
        <w:t>系统</w:t>
      </w:r>
      <w:r>
        <w:rPr>
          <w:rFonts w:hint="eastAsia" w:ascii="仿宋_GB2312" w:eastAsia="仿宋_GB2312"/>
          <w:color w:val="auto"/>
          <w:sz w:val="32"/>
          <w:szCs w:val="32"/>
          <w:highlight w:val="none"/>
          <w:u w:val="none"/>
        </w:rPr>
        <w:t>热态运行</w:t>
      </w:r>
      <w:r>
        <w:rPr>
          <w:rFonts w:hint="eastAsia" w:ascii="仿宋_GB2312" w:eastAsia="仿宋_GB2312"/>
          <w:color w:val="auto"/>
          <w:sz w:val="32"/>
          <w:szCs w:val="32"/>
          <w:highlight w:val="none"/>
          <w:u w:val="none"/>
          <w:lang w:eastAsia="zh-CN"/>
        </w:rPr>
        <w:t>，</w:t>
      </w:r>
      <w:r>
        <w:rPr>
          <w:rFonts w:hint="eastAsia" w:ascii="仿宋_GB2312" w:eastAsia="仿宋_GB2312"/>
          <w:color w:val="auto"/>
          <w:sz w:val="32"/>
          <w:szCs w:val="32"/>
          <w:highlight w:val="none"/>
          <w:u w:val="none"/>
        </w:rPr>
        <w:t>及时</w:t>
      </w:r>
      <w:r>
        <w:rPr>
          <w:rFonts w:hint="eastAsia" w:ascii="仿宋_GB2312" w:eastAsia="仿宋_GB2312"/>
          <w:color w:val="auto"/>
          <w:sz w:val="32"/>
          <w:szCs w:val="32"/>
          <w:highlight w:val="none"/>
          <w:u w:val="none"/>
          <w:lang w:val="en-US" w:eastAsia="zh-CN"/>
        </w:rPr>
        <w:t>解决供热初期设施设备故障多发和用户端堵塞积气等问题</w:t>
      </w:r>
      <w:r>
        <w:rPr>
          <w:rFonts w:hint="eastAsia" w:ascii="仿宋_GB2312" w:eastAsia="仿宋_GB2312"/>
          <w:color w:val="auto"/>
          <w:sz w:val="32"/>
          <w:szCs w:val="32"/>
          <w:highlight w:val="none"/>
          <w:u w:val="none"/>
        </w:rPr>
        <w:t>，</w:t>
      </w:r>
      <w:r>
        <w:rPr>
          <w:rFonts w:hint="eastAsia" w:ascii="仿宋_GB2312" w:eastAsia="仿宋_GB2312"/>
          <w:color w:val="auto"/>
          <w:sz w:val="32"/>
          <w:szCs w:val="32"/>
          <w:highlight w:val="none"/>
          <w:u w:val="none"/>
          <w:lang w:val="en-US" w:eastAsia="zh-CN"/>
        </w:rPr>
        <w:t>保障</w:t>
      </w:r>
      <w:r>
        <w:rPr>
          <w:rFonts w:hint="eastAsia" w:ascii="仿宋_GB2312" w:eastAsia="仿宋_GB2312"/>
          <w:color w:val="auto"/>
          <w:sz w:val="32"/>
          <w:szCs w:val="32"/>
          <w:highlight w:val="none"/>
          <w:u w:val="none"/>
        </w:rPr>
        <w:t>供热</w:t>
      </w:r>
      <w:r>
        <w:rPr>
          <w:rFonts w:hint="eastAsia" w:ascii="仿宋_GB2312" w:eastAsia="仿宋_GB2312"/>
          <w:color w:val="auto"/>
          <w:sz w:val="32"/>
          <w:szCs w:val="32"/>
          <w:highlight w:val="none"/>
          <w:u w:val="none"/>
          <w:lang w:eastAsia="zh-CN"/>
        </w:rPr>
        <w:t>系统</w:t>
      </w:r>
      <w:r>
        <w:rPr>
          <w:rFonts w:hint="eastAsia" w:ascii="仿宋_GB2312" w:eastAsia="仿宋_GB2312"/>
          <w:color w:val="auto"/>
          <w:sz w:val="32"/>
          <w:szCs w:val="32"/>
          <w:highlight w:val="none"/>
          <w:u w:val="none"/>
        </w:rPr>
        <w:t>稳定</w:t>
      </w:r>
      <w:r>
        <w:rPr>
          <w:rFonts w:hint="eastAsia" w:ascii="仿宋_GB2312" w:eastAsia="仿宋_GB2312"/>
          <w:color w:val="auto"/>
          <w:sz w:val="32"/>
          <w:szCs w:val="32"/>
          <w:highlight w:val="none"/>
          <w:u w:val="none"/>
          <w:lang w:val="en-US" w:eastAsia="zh-CN"/>
        </w:rPr>
        <w:t>运行</w:t>
      </w:r>
      <w:r>
        <w:rPr>
          <w:rFonts w:hint="eastAsia" w:ascii="仿宋_GB2312" w:eastAsia="仿宋_GB2312"/>
          <w:color w:val="auto"/>
          <w:sz w:val="32"/>
          <w:szCs w:val="32"/>
          <w:highlight w:val="none"/>
          <w:u w:val="none"/>
        </w:rPr>
        <w:t>。</w:t>
      </w:r>
      <w:r>
        <w:rPr>
          <w:rFonts w:hint="eastAsia" w:ascii="仿宋_GB2312" w:eastAsia="仿宋_GB2312"/>
          <w:color w:val="auto"/>
          <w:sz w:val="32"/>
          <w:szCs w:val="32"/>
          <w:highlight w:val="none"/>
          <w:u w:val="none"/>
          <w:lang w:eastAsia="zh-CN"/>
        </w:rPr>
        <w:t>采暖季末期，要</w:t>
      </w:r>
      <w:r>
        <w:rPr>
          <w:rFonts w:hint="eastAsia" w:ascii="仿宋_GB2312" w:eastAsia="仿宋_GB2312"/>
          <w:strike w:val="0"/>
          <w:color w:val="auto"/>
          <w:sz w:val="32"/>
          <w:szCs w:val="32"/>
          <w:highlight w:val="none"/>
          <w:u w:val="none"/>
          <w:lang w:val="en-US" w:eastAsia="zh-CN"/>
        </w:rPr>
        <w:t>根据气温变化情况科学制定运行参数，不得擅自降低供热标准</w:t>
      </w:r>
      <w:r>
        <w:rPr>
          <w:rFonts w:hint="eastAsia" w:ascii="仿宋_GB2312" w:eastAsia="仿宋_GB2312"/>
          <w:strike w:val="0"/>
          <w:color w:val="auto"/>
          <w:sz w:val="32"/>
          <w:szCs w:val="32"/>
          <w:highlight w:val="none"/>
          <w:u w:val="none"/>
        </w:rPr>
        <w:t>。</w:t>
      </w:r>
    </w:p>
    <w:p w14:paraId="04C57F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楷体_GB2312" w:hAnsi="楷体" w:eastAsia="楷体_GB2312"/>
          <w:color w:val="auto"/>
          <w:sz w:val="32"/>
          <w:szCs w:val="32"/>
          <w:highlight w:val="none"/>
          <w:u w:val="none"/>
        </w:rPr>
      </w:pPr>
      <w:r>
        <w:rPr>
          <w:rFonts w:hint="eastAsia" w:ascii="仿宋_GB2312" w:eastAsia="仿宋_GB2312"/>
          <w:b/>
          <w:bCs/>
          <w:color w:val="auto"/>
          <w:sz w:val="32"/>
          <w:szCs w:val="32"/>
          <w:highlight w:val="none"/>
          <w:u w:val="none"/>
          <w:lang w:val="en-US" w:eastAsia="zh-CN"/>
        </w:rPr>
        <w:t>2.完善服务监管机制。</w:t>
      </w:r>
      <w:r>
        <w:rPr>
          <w:rFonts w:hint="eastAsia" w:ascii="仿宋_GB2312" w:eastAsia="仿宋_GB2312"/>
          <w:b w:val="0"/>
          <w:bCs w:val="0"/>
          <w:color w:val="auto"/>
          <w:sz w:val="32"/>
          <w:szCs w:val="32"/>
          <w:highlight w:val="none"/>
          <w:u w:val="none"/>
          <w:lang w:val="en-US" w:eastAsia="zh-CN"/>
        </w:rPr>
        <w:t>畅通群众诉求反映渠道，</w:t>
      </w:r>
      <w:r>
        <w:rPr>
          <w:rFonts w:hint="eastAsia" w:ascii="仿宋_GB2312" w:eastAsia="仿宋_GB2312"/>
          <w:color w:val="auto"/>
          <w:sz w:val="32"/>
          <w:szCs w:val="32"/>
          <w:highlight w:val="none"/>
          <w:u w:val="none"/>
          <w:lang w:val="en-US" w:eastAsia="zh-CN"/>
        </w:rPr>
        <w:t>推广“访民问暖”、“接诉即办”和“供暖管家”等服务机制，明确服务标准及工作要求，建立群众诉求快速响应、高效处置的闭环管理机制。</w:t>
      </w:r>
      <w:r>
        <w:rPr>
          <w:rFonts w:hint="eastAsia" w:ascii="仿宋_GB2312" w:eastAsia="仿宋_GB2312"/>
          <w:b w:val="0"/>
          <w:bCs w:val="0"/>
          <w:color w:val="auto"/>
          <w:sz w:val="32"/>
          <w:szCs w:val="32"/>
          <w:highlight w:val="none"/>
          <w:u w:val="none"/>
          <w:lang w:val="en-US" w:eastAsia="zh-CN"/>
        </w:rPr>
        <w:t>健全供热服务质量监管机制，推动将热力站主要运行参数、典型用户室温等数据接入供热主管部门有关监管平台，变被动处置投诉为主动发现解决问题。</w:t>
      </w:r>
    </w:p>
    <w:p w14:paraId="61C0A9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outlineLvl w:val="1"/>
        <w:rPr>
          <w:rFonts w:hint="eastAsia" w:ascii="仿宋_GB2312" w:eastAsia="仿宋_GB2312"/>
          <w:color w:val="auto"/>
          <w:sz w:val="32"/>
          <w:szCs w:val="32"/>
          <w:highlight w:val="none"/>
          <w:u w:val="none"/>
        </w:rPr>
      </w:pPr>
      <w:r>
        <w:rPr>
          <w:rFonts w:hint="eastAsia" w:ascii="仿宋_GB2312" w:eastAsia="仿宋_GB2312"/>
          <w:b/>
          <w:bCs/>
          <w:color w:val="auto"/>
          <w:sz w:val="32"/>
          <w:szCs w:val="32"/>
          <w:highlight w:val="none"/>
          <w:u w:val="none"/>
          <w:lang w:val="en-US" w:eastAsia="zh-CN"/>
        </w:rPr>
        <w:t>3.规范供热市场秩序。</w:t>
      </w:r>
      <w:r>
        <w:rPr>
          <w:rFonts w:hint="eastAsia" w:ascii="仿宋_GB2312" w:eastAsia="仿宋_GB2312"/>
          <w:b w:val="0"/>
          <w:bCs w:val="0"/>
          <w:color w:val="auto"/>
          <w:sz w:val="32"/>
          <w:szCs w:val="32"/>
          <w:highlight w:val="none"/>
          <w:u w:val="none"/>
          <w:lang w:val="en-US" w:eastAsia="zh-CN"/>
        </w:rPr>
        <w:t>完善供热企业综合评价机制，将运行保障、服务质量、节能降碳等作为重要评价内容。规范热电联产供热趸售合同和供用热合同，规范供热、用热行为。</w:t>
      </w:r>
    </w:p>
    <w:p w14:paraId="06229FA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outlineLvl w:val="1"/>
        <w:rPr>
          <w:rFonts w:hint="default" w:ascii="楷体" w:hAnsi="楷体" w:eastAsia="楷体" w:cs="楷体"/>
          <w:color w:val="auto"/>
          <w:sz w:val="32"/>
          <w:szCs w:val="32"/>
          <w:highlight w:val="none"/>
          <w:u w:val="none"/>
          <w:lang w:val="en-US" w:eastAsia="zh-CN"/>
        </w:rPr>
      </w:pPr>
      <w:r>
        <w:rPr>
          <w:rFonts w:hint="eastAsia" w:ascii="楷体" w:hAnsi="楷体" w:eastAsia="楷体" w:cs="楷体"/>
          <w:color w:val="auto"/>
          <w:sz w:val="32"/>
          <w:szCs w:val="32"/>
          <w:highlight w:val="none"/>
          <w:u w:val="none"/>
          <w:lang w:eastAsia="zh-CN"/>
        </w:rPr>
        <w:t>（</w:t>
      </w:r>
      <w:r>
        <w:rPr>
          <w:rFonts w:hint="eastAsia" w:ascii="楷体" w:hAnsi="楷体" w:eastAsia="楷体" w:cs="楷体"/>
          <w:color w:val="auto"/>
          <w:sz w:val="32"/>
          <w:szCs w:val="32"/>
          <w:highlight w:val="none"/>
          <w:u w:val="none"/>
          <w:lang w:val="en-US" w:eastAsia="zh-CN"/>
        </w:rPr>
        <w:t>五</w:t>
      </w:r>
      <w:r>
        <w:rPr>
          <w:rFonts w:hint="eastAsia" w:ascii="楷体" w:hAnsi="楷体" w:eastAsia="楷体" w:cs="楷体"/>
          <w:color w:val="auto"/>
          <w:sz w:val="32"/>
          <w:szCs w:val="32"/>
          <w:highlight w:val="none"/>
          <w:u w:val="none"/>
          <w:lang w:eastAsia="zh-CN"/>
        </w:rPr>
        <w:t>）</w:t>
      </w:r>
      <w:r>
        <w:rPr>
          <w:rFonts w:hint="eastAsia" w:ascii="楷体" w:hAnsi="楷体" w:eastAsia="楷体" w:cs="楷体"/>
          <w:color w:val="auto"/>
          <w:sz w:val="32"/>
          <w:szCs w:val="32"/>
          <w:highlight w:val="none"/>
          <w:u w:val="none"/>
          <w:lang w:val="en-US" w:eastAsia="zh-CN"/>
        </w:rPr>
        <w:t>健全供热长效保障机制</w:t>
      </w:r>
    </w:p>
    <w:p w14:paraId="779D614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1.完善</w:t>
      </w:r>
      <w:r>
        <w:rPr>
          <w:rFonts w:hint="eastAsia" w:ascii="仿宋_GB2312" w:eastAsia="仿宋_GB2312"/>
          <w:b/>
          <w:bCs/>
          <w:color w:val="auto"/>
          <w:sz w:val="32"/>
          <w:szCs w:val="32"/>
          <w:highlight w:val="none"/>
          <w:u w:val="none"/>
        </w:rPr>
        <w:t>法规标准</w:t>
      </w:r>
      <w:r>
        <w:rPr>
          <w:rFonts w:hint="eastAsia" w:ascii="仿宋_GB2312" w:eastAsia="仿宋_GB2312"/>
          <w:b/>
          <w:bCs/>
          <w:color w:val="auto"/>
          <w:sz w:val="32"/>
          <w:szCs w:val="32"/>
          <w:highlight w:val="none"/>
          <w:u w:val="none"/>
          <w:lang w:val="en-US" w:eastAsia="zh-CN"/>
        </w:rPr>
        <w:t>和相关规划</w:t>
      </w:r>
      <w:r>
        <w:rPr>
          <w:rFonts w:hint="eastAsia" w:ascii="仿宋_GB2312" w:eastAsia="仿宋_GB2312"/>
          <w:b/>
          <w:bCs/>
          <w:color w:val="auto"/>
          <w:sz w:val="32"/>
          <w:szCs w:val="32"/>
          <w:highlight w:val="none"/>
          <w:u w:val="none"/>
          <w:lang w:eastAsia="zh-CN"/>
        </w:rPr>
        <w:t>。</w:t>
      </w:r>
      <w:r>
        <w:rPr>
          <w:rFonts w:hint="eastAsia" w:ascii="仿宋_GB2312" w:eastAsia="仿宋_GB2312"/>
          <w:b w:val="0"/>
          <w:bCs w:val="0"/>
          <w:color w:val="auto"/>
          <w:sz w:val="32"/>
          <w:szCs w:val="32"/>
          <w:highlight w:val="none"/>
          <w:u w:val="none"/>
          <w:lang w:eastAsia="zh-CN"/>
        </w:rPr>
        <w:t>加强</w:t>
      </w:r>
      <w:r>
        <w:rPr>
          <w:rFonts w:hint="eastAsia" w:ascii="仿宋_GB2312" w:eastAsia="仿宋_GB2312"/>
          <w:b w:val="0"/>
          <w:bCs w:val="0"/>
          <w:color w:val="auto"/>
          <w:sz w:val="32"/>
          <w:szCs w:val="32"/>
          <w:highlight w:val="none"/>
          <w:u w:val="none"/>
          <w:lang w:val="en-US" w:eastAsia="zh-CN"/>
        </w:rPr>
        <w:t>供热</w:t>
      </w:r>
      <w:r>
        <w:rPr>
          <w:rFonts w:hint="eastAsia" w:ascii="仿宋_GB2312" w:eastAsia="仿宋_GB2312"/>
          <w:b w:val="0"/>
          <w:bCs w:val="0"/>
          <w:color w:val="auto"/>
          <w:sz w:val="32"/>
          <w:szCs w:val="32"/>
          <w:highlight w:val="none"/>
          <w:u w:val="none"/>
          <w:shd w:val="clear" w:fill="FFFFFF"/>
          <w:lang w:val="en-US" w:eastAsia="zh-CN"/>
        </w:rPr>
        <w:t>法治建设</w:t>
      </w:r>
      <w:r>
        <w:rPr>
          <w:rFonts w:hint="eastAsia" w:ascii="仿宋_GB2312" w:eastAsia="仿宋_GB2312"/>
          <w:b w:val="0"/>
          <w:bCs w:val="0"/>
          <w:color w:val="auto"/>
          <w:sz w:val="32"/>
          <w:szCs w:val="32"/>
          <w:highlight w:val="none"/>
          <w:u w:val="none"/>
          <w:lang w:val="en-US" w:eastAsia="zh-CN"/>
        </w:rPr>
        <w:t>，进一步</w:t>
      </w:r>
      <w:r>
        <w:rPr>
          <w:rFonts w:hint="eastAsia" w:ascii="仿宋_GB2312" w:eastAsia="仿宋_GB2312"/>
          <w:color w:val="auto"/>
          <w:sz w:val="32"/>
          <w:szCs w:val="32"/>
          <w:highlight w:val="none"/>
          <w:u w:val="none"/>
          <w:lang w:val="en-US" w:eastAsia="zh-CN"/>
        </w:rPr>
        <w:t>完善规划建设、运行管理等要求，规范事中事后监管。</w:t>
      </w:r>
      <w:r>
        <w:rPr>
          <w:rFonts w:hint="eastAsia" w:ascii="仿宋_GB2312" w:eastAsia="仿宋_GB2312"/>
          <w:b w:val="0"/>
          <w:bCs w:val="0"/>
          <w:color w:val="auto"/>
          <w:sz w:val="32"/>
          <w:szCs w:val="32"/>
          <w:highlight w:val="none"/>
          <w:u w:val="none"/>
          <w:lang w:val="en-US" w:eastAsia="zh-CN"/>
        </w:rPr>
        <w:t>根据需要制修订有关标准，完善供热系统施工、运行、抢修及智能化等方面技术要求。</w:t>
      </w:r>
      <w:r>
        <w:rPr>
          <w:rFonts w:hint="eastAsia" w:ascii="仿宋_GB2312" w:eastAsia="仿宋_GB2312"/>
          <w:color w:val="auto"/>
          <w:sz w:val="32"/>
          <w:szCs w:val="32"/>
          <w:highlight w:val="none"/>
          <w:u w:val="none"/>
          <w:lang w:val="en-US" w:eastAsia="zh-CN"/>
        </w:rPr>
        <w:t>强化城市供热相关规划管控要求，明确热源优化、管网建设改造、智慧供热以及供热计量等方面的目标任务和长效保障机制，统筹做好规划实施。</w:t>
      </w:r>
    </w:p>
    <w:p w14:paraId="55B5379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2.健全价格机制。</w:t>
      </w:r>
      <w:r>
        <w:rPr>
          <w:rFonts w:hint="eastAsia" w:ascii="仿宋_GB2312" w:eastAsia="仿宋_GB2312"/>
          <w:b w:val="0"/>
          <w:bCs w:val="0"/>
          <w:color w:val="auto"/>
          <w:sz w:val="32"/>
          <w:szCs w:val="32"/>
          <w:highlight w:val="none"/>
          <w:u w:val="none"/>
          <w:lang w:val="en-US" w:eastAsia="zh-CN"/>
        </w:rPr>
        <w:t>完善集中供热成本监审</w:t>
      </w:r>
      <w:r>
        <w:rPr>
          <w:rFonts w:hint="eastAsia" w:ascii="仿宋_GB2312" w:eastAsia="仿宋_GB2312"/>
          <w:color w:val="auto"/>
          <w:sz w:val="32"/>
          <w:szCs w:val="32"/>
          <w:highlight w:val="none"/>
          <w:u w:val="none"/>
          <w:lang w:val="en-US" w:eastAsia="zh-CN"/>
        </w:rPr>
        <w:t>规则</w:t>
      </w:r>
      <w:r>
        <w:rPr>
          <w:rFonts w:hint="eastAsia" w:ascii="仿宋_GB2312" w:eastAsia="仿宋_GB2312"/>
          <w:b w:val="0"/>
          <w:bCs w:val="0"/>
          <w:color w:val="auto"/>
          <w:sz w:val="32"/>
          <w:szCs w:val="32"/>
          <w:highlight w:val="none"/>
          <w:u w:val="none"/>
          <w:lang w:val="en-US" w:eastAsia="zh-CN"/>
        </w:rPr>
        <w:t>，合理确定成本覆盖范围，加强成本监审。稳妥理顺供热价格，供热价格难以调整到位的城市，应根据实际情况制定政策性亏损补偿政策。</w:t>
      </w:r>
    </w:p>
    <w:p w14:paraId="7718AD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仿宋_GB2312" w:hAnsi="仿宋_GB2312" w:eastAsia="仿宋_GB2312" w:cs="仿宋_GB2312"/>
          <w:i w:val="0"/>
          <w:caps w:val="0"/>
          <w:color w:val="000000"/>
          <w:spacing w:val="0"/>
          <w:kern w:val="0"/>
          <w:sz w:val="32"/>
          <w:szCs w:val="32"/>
          <w:highlight w:val="none"/>
          <w:u w:val="none"/>
          <w:lang w:val="en-US" w:eastAsia="zh-CN" w:bidi="ar"/>
        </w:rPr>
      </w:pPr>
      <w:r>
        <w:rPr>
          <w:rFonts w:hint="eastAsia" w:ascii="仿宋_GB2312" w:eastAsia="仿宋_GB2312"/>
          <w:b/>
          <w:bCs/>
          <w:color w:val="auto"/>
          <w:sz w:val="32"/>
          <w:szCs w:val="32"/>
          <w:highlight w:val="none"/>
          <w:u w:val="none"/>
          <w:lang w:val="en-US" w:eastAsia="zh-CN"/>
        </w:rPr>
        <w:t>3.强化资金统筹。</w:t>
      </w:r>
      <w:r>
        <w:rPr>
          <w:rFonts w:hint="eastAsia" w:ascii="仿宋_GB2312" w:hAnsi="仿宋_GB2312" w:eastAsia="仿宋_GB2312" w:cs="仿宋_GB2312"/>
          <w:i w:val="0"/>
          <w:caps w:val="0"/>
          <w:color w:val="000000"/>
          <w:spacing w:val="0"/>
          <w:kern w:val="0"/>
          <w:sz w:val="32"/>
          <w:szCs w:val="32"/>
          <w:highlight w:val="none"/>
          <w:u w:val="none"/>
          <w:lang w:val="en-US" w:eastAsia="zh-CN" w:bidi="ar"/>
        </w:rPr>
        <w:t>落实供热企业出资主体责任，加大供热设施设备建设改造资金投入力度。压实城市（县）政府属地责任，用好地方财政资金和地方政府专项债券等资金渠道积极予以支持。中央资金通过现有渠道对符合条件的供热设施设备改造项目予以适当支持。</w:t>
      </w:r>
    </w:p>
    <w:p w14:paraId="2C1FF33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1"/>
        <w:rPr>
          <w:rFonts w:hint="eastAsia" w:ascii="黑体" w:hAnsi="黑体" w:eastAsia="黑体" w:cs="黑体"/>
          <w:color w:val="auto"/>
          <w:sz w:val="32"/>
          <w:szCs w:val="32"/>
          <w:highlight w:val="none"/>
          <w:u w:val="none"/>
        </w:rPr>
      </w:pPr>
      <w:r>
        <w:rPr>
          <w:rFonts w:hint="eastAsia" w:ascii="仿宋_GB2312" w:eastAsia="仿宋_GB2312"/>
          <w:b/>
          <w:bCs/>
          <w:color w:val="auto"/>
          <w:sz w:val="32"/>
          <w:szCs w:val="32"/>
          <w:highlight w:val="none"/>
          <w:u w:val="none"/>
          <w:lang w:val="en-US" w:eastAsia="zh-CN"/>
        </w:rPr>
        <w:t>4.加强人员培训。</w:t>
      </w:r>
      <w:r>
        <w:rPr>
          <w:rFonts w:hint="eastAsia" w:ascii="仿宋_GB2312" w:eastAsia="仿宋_GB2312"/>
          <w:b w:val="0"/>
          <w:bCs w:val="0"/>
          <w:color w:val="auto"/>
          <w:sz w:val="32"/>
          <w:szCs w:val="32"/>
          <w:highlight w:val="none"/>
          <w:u w:val="none"/>
          <w:lang w:val="en-US" w:eastAsia="zh-CN"/>
        </w:rPr>
        <w:t>指导供热企业组织开展专业培训、</w:t>
      </w:r>
      <w:r>
        <w:rPr>
          <w:rFonts w:hint="default" w:ascii="仿宋_GB2312" w:eastAsia="仿宋_GB2312"/>
          <w:b w:val="0"/>
          <w:bCs w:val="0"/>
          <w:color w:val="auto"/>
          <w:sz w:val="32"/>
          <w:szCs w:val="32"/>
          <w:highlight w:val="none"/>
          <w:u w:val="none"/>
          <w:lang w:val="en-US" w:eastAsia="zh-CN"/>
        </w:rPr>
        <w:t>技术</w:t>
      </w:r>
      <w:r>
        <w:rPr>
          <w:rFonts w:hint="eastAsia" w:ascii="仿宋_GB2312" w:eastAsia="仿宋_GB2312"/>
          <w:b w:val="0"/>
          <w:bCs w:val="0"/>
          <w:color w:val="auto"/>
          <w:sz w:val="32"/>
          <w:szCs w:val="32"/>
          <w:highlight w:val="none"/>
          <w:u w:val="none"/>
          <w:lang w:val="en-US" w:eastAsia="zh-CN"/>
        </w:rPr>
        <w:t>比武等，提高从业人员专业技能、服务意识和应急处置能力。加强供热主管部门人员培训，提升行业管理水平。发挥社会组织作用，加强行业交流，促进行业</w:t>
      </w:r>
      <w:r>
        <w:rPr>
          <w:rFonts w:hint="default" w:ascii="仿宋_GB2312" w:eastAsia="仿宋_GB2312"/>
          <w:b w:val="0"/>
          <w:bCs w:val="0"/>
          <w:color w:val="auto"/>
          <w:sz w:val="32"/>
          <w:szCs w:val="32"/>
          <w:highlight w:val="none"/>
          <w:u w:val="none"/>
          <w:lang w:val="en-US" w:eastAsia="zh-CN"/>
        </w:rPr>
        <w:t>健康发展。</w:t>
      </w:r>
    </w:p>
    <w:p w14:paraId="3E3663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三、加强组织领导</w:t>
      </w:r>
    </w:p>
    <w:p w14:paraId="07D372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color w:val="auto"/>
          <w:sz w:val="32"/>
          <w:szCs w:val="32"/>
          <w:highlight w:val="none"/>
          <w:u w:val="none"/>
          <w:lang w:val="en-US" w:eastAsia="zh-CN"/>
        </w:rPr>
      </w:pPr>
      <w:r>
        <w:rPr>
          <w:rFonts w:hint="eastAsia" w:ascii="仿宋_GB2312" w:eastAsia="仿宋_GB2312"/>
          <w:color w:val="auto"/>
          <w:sz w:val="32"/>
          <w:szCs w:val="32"/>
          <w:highlight w:val="none"/>
          <w:u w:val="none"/>
        </w:rPr>
        <w:t>住房城乡建设部会同国家发展改革委、工业和信息化部、市场监管总局、中国气象局</w:t>
      </w:r>
      <w:r>
        <w:rPr>
          <w:rFonts w:hint="eastAsia" w:ascii="仿宋_GB2312" w:eastAsia="仿宋_GB2312"/>
          <w:color w:val="auto"/>
          <w:sz w:val="32"/>
          <w:szCs w:val="32"/>
          <w:highlight w:val="none"/>
          <w:u w:val="none"/>
          <w:lang w:eastAsia="zh-CN"/>
        </w:rPr>
        <w:t>、</w:t>
      </w:r>
      <w:r>
        <w:rPr>
          <w:rFonts w:hint="eastAsia" w:ascii="仿宋_GB2312" w:eastAsia="仿宋_GB2312"/>
          <w:color w:val="auto"/>
          <w:sz w:val="32"/>
          <w:szCs w:val="32"/>
          <w:highlight w:val="none"/>
          <w:u w:val="none"/>
        </w:rPr>
        <w:t>国家能源局加强</w:t>
      </w:r>
      <w:r>
        <w:rPr>
          <w:rFonts w:hint="eastAsia" w:ascii="仿宋_GB2312" w:eastAsia="仿宋_GB2312"/>
          <w:color w:val="auto"/>
          <w:sz w:val="32"/>
          <w:szCs w:val="32"/>
          <w:highlight w:val="none"/>
          <w:u w:val="none"/>
          <w:lang w:eastAsia="zh-CN"/>
        </w:rPr>
        <w:t>统筹</w:t>
      </w:r>
      <w:r>
        <w:rPr>
          <w:rFonts w:hint="eastAsia" w:ascii="仿宋_GB2312" w:eastAsia="仿宋_GB2312"/>
          <w:color w:val="auto"/>
          <w:sz w:val="32"/>
          <w:szCs w:val="32"/>
          <w:highlight w:val="none"/>
          <w:u w:val="none"/>
        </w:rPr>
        <w:t>协调</w:t>
      </w:r>
      <w:r>
        <w:rPr>
          <w:rFonts w:hint="eastAsia" w:ascii="仿宋_GB2312" w:eastAsia="仿宋_GB2312"/>
          <w:color w:val="auto"/>
          <w:sz w:val="32"/>
          <w:szCs w:val="32"/>
          <w:highlight w:val="none"/>
          <w:u w:val="none"/>
          <w:lang w:eastAsia="zh-CN"/>
        </w:rPr>
        <w:t>和政策支持，按职责</w:t>
      </w:r>
      <w:r>
        <w:rPr>
          <w:rFonts w:hint="eastAsia" w:ascii="仿宋_GB2312" w:eastAsia="仿宋_GB2312"/>
          <w:color w:val="auto"/>
          <w:sz w:val="32"/>
          <w:szCs w:val="32"/>
          <w:highlight w:val="none"/>
          <w:u w:val="none"/>
        </w:rPr>
        <w:t>指导地方抓好</w:t>
      </w:r>
      <w:r>
        <w:rPr>
          <w:rFonts w:hint="eastAsia" w:ascii="仿宋_GB2312" w:eastAsia="仿宋_GB2312"/>
          <w:color w:val="auto"/>
          <w:sz w:val="32"/>
          <w:szCs w:val="32"/>
          <w:highlight w:val="none"/>
          <w:u w:val="none"/>
          <w:lang w:eastAsia="zh-CN"/>
        </w:rPr>
        <w:t>工作</w:t>
      </w:r>
      <w:r>
        <w:rPr>
          <w:rFonts w:hint="eastAsia" w:ascii="仿宋_GB2312" w:eastAsia="仿宋_GB2312"/>
          <w:color w:val="auto"/>
          <w:sz w:val="32"/>
          <w:szCs w:val="32"/>
          <w:highlight w:val="none"/>
          <w:u w:val="none"/>
        </w:rPr>
        <w:t>落实。</w:t>
      </w:r>
      <w:r>
        <w:rPr>
          <w:rFonts w:hint="eastAsia" w:ascii="仿宋_GB2312" w:eastAsia="仿宋_GB2312"/>
          <w:color w:val="auto"/>
          <w:sz w:val="32"/>
          <w:szCs w:val="32"/>
          <w:highlight w:val="none"/>
          <w:u w:val="none"/>
          <w:lang w:eastAsia="zh-CN"/>
        </w:rPr>
        <w:t>各有关部门要密切配合，形成合力。北方采暖地区</w:t>
      </w:r>
      <w:r>
        <w:rPr>
          <w:rFonts w:hint="eastAsia" w:ascii="仿宋_GB2312" w:eastAsia="仿宋_GB2312"/>
          <w:b w:val="0"/>
          <w:bCs w:val="0"/>
          <w:color w:val="auto"/>
          <w:sz w:val="32"/>
          <w:szCs w:val="32"/>
          <w:highlight w:val="none"/>
          <w:u w:val="none"/>
          <w:lang w:val="en-US" w:eastAsia="zh-CN"/>
        </w:rPr>
        <w:t>省级</w:t>
      </w:r>
      <w:r>
        <w:rPr>
          <w:rFonts w:hint="eastAsia" w:ascii="仿宋_GB2312" w:eastAsia="仿宋_GB2312"/>
          <w:color w:val="auto"/>
          <w:sz w:val="32"/>
          <w:szCs w:val="32"/>
          <w:highlight w:val="none"/>
          <w:u w:val="none"/>
          <w:lang w:eastAsia="zh-CN"/>
        </w:rPr>
        <w:t>城镇供热主管部门要加强工作统筹，会同相关部门完善工作协同机制，</w:t>
      </w:r>
      <w:r>
        <w:rPr>
          <w:rFonts w:hint="eastAsia" w:ascii="仿宋_GB2312" w:eastAsia="仿宋_GB2312"/>
          <w:b w:val="0"/>
          <w:bCs w:val="0"/>
          <w:color w:val="auto"/>
          <w:sz w:val="32"/>
          <w:szCs w:val="32"/>
          <w:highlight w:val="none"/>
          <w:u w:val="none"/>
          <w:lang w:val="en-US" w:eastAsia="zh-CN"/>
        </w:rPr>
        <w:t>细化本地区重点任务和工作举措，指导市县</w:t>
      </w:r>
      <w:r>
        <w:rPr>
          <w:rFonts w:hint="eastAsia" w:ascii="仿宋_GB2312" w:eastAsia="仿宋_GB2312"/>
          <w:color w:val="auto"/>
          <w:sz w:val="32"/>
          <w:szCs w:val="32"/>
          <w:highlight w:val="none"/>
          <w:u w:val="none"/>
          <w:lang w:eastAsia="zh-CN"/>
        </w:rPr>
        <w:t>聚焦强化供热保障能力，加快补齐设施短板，完善长效机制，并加强政策宣传和跟踪调度，及时总结推广典型经验做法，</w:t>
      </w:r>
      <w:r>
        <w:rPr>
          <w:rFonts w:hint="eastAsia" w:ascii="仿宋_GB2312" w:eastAsia="仿宋_GB2312"/>
          <w:strike w:val="0"/>
          <w:dstrike w:val="0"/>
          <w:color w:val="auto"/>
          <w:sz w:val="32"/>
          <w:szCs w:val="32"/>
          <w:highlight w:val="none"/>
          <w:u w:val="none"/>
          <w:lang w:val="en-US" w:eastAsia="zh-CN"/>
        </w:rPr>
        <w:t>持续推动</w:t>
      </w:r>
      <w:r>
        <w:rPr>
          <w:rFonts w:hint="eastAsia" w:ascii="仿宋_GB2312" w:eastAsia="仿宋_GB2312"/>
          <w:color w:val="auto"/>
          <w:sz w:val="32"/>
          <w:szCs w:val="32"/>
          <w:highlight w:val="none"/>
          <w:u w:val="none"/>
          <w:lang w:eastAsia="zh-CN"/>
        </w:rPr>
        <w:t>“温暖工程”各项任务落实落细，切实提升供热系统稳定运行保障能力，更好满足人民群众供热采暖需求。</w:t>
      </w:r>
    </w:p>
    <w:p w14:paraId="37A1A57D"/>
    <w:sectPr>
      <w:footerReference r:id="rId3" w:type="default"/>
      <w:pgSz w:w="11906" w:h="16838"/>
      <w:pgMar w:top="1984" w:right="1474" w:bottom="181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8615970"/>
      <w:docPartObj>
        <w:docPartGallery w:val="autotext"/>
      </w:docPartObj>
    </w:sdtPr>
    <w:sdtEndPr>
      <w:rPr>
        <w:rFonts w:hint="eastAsia" w:ascii="宋体" w:hAnsi="宋体" w:eastAsia="宋体" w:cs="宋体"/>
        <w:sz w:val="28"/>
        <w:szCs w:val="28"/>
      </w:rPr>
    </w:sdtEndPr>
    <w:sdtContent>
      <w:p w14:paraId="40337732">
        <w:pPr>
          <w:pStyle w:val="2"/>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6B0A29"/>
    <w:multiLevelType w:val="singleLevel"/>
    <w:tmpl w:val="5F6B0A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D49D4"/>
    <w:rsid w:val="085479C5"/>
    <w:rsid w:val="09D10A2E"/>
    <w:rsid w:val="4ABD49D4"/>
    <w:rsid w:val="4DF32205"/>
    <w:rsid w:val="532E3FC8"/>
    <w:rsid w:val="7B89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xxc</Company>
  <Pages>7</Pages>
  <Words>2980</Words>
  <Characters>3009</Characters>
  <Lines>0</Lines>
  <Paragraphs>0</Paragraphs>
  <TotalTime>33</TotalTime>
  <ScaleCrop>false</ScaleCrop>
  <LinksUpToDate>false</LinksUpToDate>
  <CharactersWithSpaces>3009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2026-10-15T06:56:00Z</dcterms:created>
  <dc:creator>tinykerman</dc:creator>
  <cp:lastModifiedBy>WPS_1775439006</cp:lastModifiedBy>
  <dcterms:modified xsi:type="dcterms:W3CDTF">2026-10-16T08:38:54Z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21AFC0D284FF48BC9C9B62F582651554_13</vt:lpwstr>
  </property>
  <property fmtid="{D5CDD505-2E9C-101B-9397-08002B2CF9AE}" pid="4" name="KSOTemplateDocerSaveRecord">
    <vt:lpwstr>eyJoZGlkIjoiYjkxZDFiOTYwY2FkZGZkNDgxMzdmMWNlMjJhODM1NGIiLCJ1c2VySWQiOiIyNDQ5ODgwNDMifQ==</vt:lpwstr>
  </property>
</Properties>
</file>